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color w:val="000000" w:themeColor="text1"/>
          <w:sz w:val="44"/>
          <w:szCs w:val="44"/>
        </w:rPr>
        <w:t>自然资源和规划局20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rPr>
        <w:t>1年部门预算信息公开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霸州市自然资源和规划局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3" w:firstLineChars="200"/>
        <w:jc w:val="left"/>
        <w:rPr>
          <w:rFonts w:ascii="Times New Roman" w:eastAsia="方正仿宋_GBK"/>
          <w:sz w:val="28"/>
        </w:rPr>
      </w:pPr>
      <w:r>
        <w:rPr>
          <w:rFonts w:hint="eastAsia" w:ascii="楷体_GB2312" w:hAnsi="Times New Roman" w:eastAsia="楷体_GB2312" w:cs="Times New Roman"/>
          <w:b/>
          <w:sz w:val="32"/>
          <w:szCs w:val="32"/>
        </w:rPr>
        <w:t>部门职责：</w:t>
      </w:r>
      <w:r>
        <w:rPr>
          <w:rFonts w:ascii="Times New Roman" w:eastAsia="方正仿宋_GBK"/>
          <w:sz w:val="28"/>
        </w:rPr>
        <w:t>　（一）履行全民所有土地、矿产、森林、草原、湿地、水等自然资源资产所有者职责和所有国土空间用途管制职责。拟订自然资源和国土空间规划及测绘等地方政策、政府规章草案，监督检查自然资源和国土空间规划及测绘等法律法规的执行情况。</w:t>
      </w:r>
    </w:p>
    <w:p>
      <w:pPr>
        <w:spacing w:line="500" w:lineRule="exact"/>
        <w:ind w:firstLine="560" w:firstLineChars="200"/>
        <w:jc w:val="left"/>
        <w:rPr>
          <w:rFonts w:ascii="Times New Roman" w:eastAsia="方正仿宋_GBK"/>
          <w:sz w:val="28"/>
        </w:rPr>
      </w:pPr>
      <w:r>
        <w:rPr>
          <w:rFonts w:ascii="Times New Roman" w:eastAsia="方正仿宋_GBK"/>
          <w:sz w:val="28"/>
        </w:rPr>
        <w:t>（二）负责全市自然资源调查监测评价。贯彻执行国家自然资源调查监测评价的指标体系、统计标准和自然资源调查监测评价制度。实施自然资源基础调查、专项调查和监测。负责自然资源调查监测评价成果的监督管理和信息发布。负责乡（镇）自然资源调查监测评价工作。</w:t>
      </w:r>
    </w:p>
    <w:p>
      <w:pPr>
        <w:spacing w:line="500" w:lineRule="exact"/>
        <w:ind w:firstLine="560" w:firstLineChars="200"/>
        <w:jc w:val="left"/>
        <w:rPr>
          <w:rFonts w:ascii="Times New Roman" w:eastAsia="方正仿宋_GBK"/>
          <w:sz w:val="28"/>
        </w:rPr>
      </w:pPr>
      <w:r>
        <w:rPr>
          <w:rFonts w:ascii="Times New Roman" w:eastAsia="方正仿宋_GBK"/>
          <w:sz w:val="28"/>
        </w:rPr>
        <w:t>（三）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负责全市自然资源和不动产确权登记工作。</w:t>
      </w:r>
    </w:p>
    <w:p>
      <w:pPr>
        <w:spacing w:line="500" w:lineRule="exact"/>
        <w:ind w:firstLine="560" w:firstLineChars="200"/>
        <w:jc w:val="left"/>
        <w:rPr>
          <w:rFonts w:ascii="Times New Roman" w:eastAsia="方正仿宋_GBK"/>
          <w:sz w:val="28"/>
        </w:rPr>
      </w:pPr>
      <w:r>
        <w:rPr>
          <w:rFonts w:ascii="Times New Roman" w:eastAsia="方正仿宋_GBK"/>
          <w:sz w:val="28"/>
        </w:rPr>
        <w:t>（四）负责全市自然资源资产有偿使用工作。贯彻执行国家全民所有自然资源资产统计制度，负责全民所有自然资源资产核算。负责编制全民所有自然资源资产负债表，拟订考核标准。贯彻执行全民所有自然资源资产划拨、出让、租赁、作价出资和土地储备政策，合理配置全民所有自然资源资产。负责自然资源资产价值评估管理，依法收缴相关资产收益。</w:t>
      </w:r>
    </w:p>
    <w:p>
      <w:pPr>
        <w:spacing w:line="500" w:lineRule="exact"/>
        <w:ind w:firstLine="560" w:firstLineChars="200"/>
        <w:jc w:val="left"/>
        <w:rPr>
          <w:rFonts w:ascii="Times New Roman" w:eastAsia="方正仿宋_GBK"/>
          <w:sz w:val="28"/>
        </w:rPr>
      </w:pPr>
      <w:r>
        <w:rPr>
          <w:rFonts w:ascii="Times New Roman" w:eastAsia="方正仿宋_GBK"/>
          <w:sz w:val="28"/>
        </w:rPr>
        <w:t>（五）负责全市自然资源的合理开发利用。组织拟订自然资源发展规划，贯彻国家自然资源开发利用标准并组织实施，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spacing w:line="500" w:lineRule="exact"/>
        <w:ind w:firstLine="560" w:firstLineChars="200"/>
        <w:jc w:val="left"/>
        <w:rPr>
          <w:rFonts w:ascii="Times New Roman" w:eastAsia="方正仿宋_GBK"/>
          <w:sz w:val="28"/>
        </w:rPr>
      </w:pPr>
      <w:r>
        <w:rPr>
          <w:rFonts w:ascii="Times New Roman" w:eastAsia="方正仿宋_GBK"/>
          <w:sz w:val="28"/>
        </w:rPr>
        <w:t>（六）负责建立全市空间规划体系并监督实施。推进主体功能区战略和制度，组织编制并监督实施全市国土空间规划和相关专项规划。负责编制城乡控制性详细规划和城乡设计。开展国土空间开发适宜性评价，建立国土空间规划实施监测、评估和预警体系。负责指导乡（镇）国土空间规划和相关专项规划的编制工作并监督管理。组织划定生态保护红线、永久基本农田、城镇开发边界等控制线，构建节约资源和保护环境的生产、生活、生态空间布局。负责市城乡规划委员会日常工作。</w:t>
      </w:r>
    </w:p>
    <w:p>
      <w:pPr>
        <w:spacing w:line="500" w:lineRule="exact"/>
        <w:ind w:firstLine="560" w:firstLineChars="200"/>
        <w:jc w:val="left"/>
        <w:rPr>
          <w:rFonts w:ascii="Times New Roman" w:eastAsia="方正仿宋_GBK"/>
          <w:sz w:val="28"/>
        </w:rPr>
      </w:pPr>
      <w:r>
        <w:rPr>
          <w:rFonts w:ascii="Times New Roman" w:eastAsia="方正仿宋_GBK"/>
          <w:sz w:val="28"/>
        </w:rPr>
        <w:t>（七）负责建立健全国土空间用途管制制度，研究拟订城乡规划政策并监督实施。参与城乡重大建设项目前期论证，承担建设项目用地选址、建设用地、建设工程及临时建设的规划管理工作。负责土地等自然资源年度利用计划管理工作。负责土地等国土空间用途转用工作。负责土地征收征用管理。</w:t>
      </w:r>
    </w:p>
    <w:p>
      <w:pPr>
        <w:spacing w:line="500" w:lineRule="exact"/>
        <w:ind w:firstLine="560" w:firstLineChars="200"/>
        <w:jc w:val="left"/>
        <w:rPr>
          <w:rFonts w:ascii="Times New Roman" w:eastAsia="方正仿宋_GBK"/>
          <w:sz w:val="28"/>
        </w:rPr>
      </w:pPr>
      <w:r>
        <w:rPr>
          <w:rFonts w:ascii="Times New Roman" w:eastAsia="方正仿宋_GBK"/>
          <w:sz w:val="28"/>
        </w:rPr>
        <w:t>（八）负责统筹全市国土空间生态修复。牵头组织编制国土空间生态修复规划并实施有关生态修复重大工程。负责国土空间综合整治、土地整理复垦、矿山地质环境恢复治理和湿地、自然保护地、草原等生态保护修复工作。牵头建立和实施生态保护补偿制度，制定合理利用社会资金进行生态修复的政策措施，提出重大备选项目。</w:t>
      </w:r>
    </w:p>
    <w:p>
      <w:pPr>
        <w:spacing w:line="500" w:lineRule="exact"/>
        <w:ind w:firstLine="560" w:firstLineChars="200"/>
        <w:jc w:val="left"/>
        <w:rPr>
          <w:rFonts w:ascii="Times New Roman" w:eastAsia="方正仿宋_GBK"/>
          <w:sz w:val="28"/>
        </w:rPr>
      </w:pPr>
      <w:r>
        <w:rPr>
          <w:rFonts w:ascii="Times New Roman" w:eastAsia="方正仿宋_GBK"/>
          <w:sz w:val="28"/>
        </w:rPr>
        <w:t>（九）负责组织实施最严格的耕地保护制度。贯彻落实耕地保护政策，负责耕地数量、质量、生态保护。组织实施耕地保护责任目标考核和永久基本农田特殊保护。负责落实耕地占补平衡制度，监督占用耕地补偿制度执行情况。</w:t>
      </w:r>
    </w:p>
    <w:p>
      <w:pPr>
        <w:spacing w:line="500" w:lineRule="exact"/>
        <w:ind w:firstLine="560" w:firstLineChars="200"/>
        <w:jc w:val="left"/>
        <w:rPr>
          <w:rFonts w:ascii="Times New Roman" w:eastAsia="方正仿宋_GBK"/>
          <w:sz w:val="28"/>
        </w:rPr>
      </w:pPr>
      <w:r>
        <w:rPr>
          <w:rFonts w:ascii="Times New Roman" w:eastAsia="方正仿宋_GBK"/>
          <w:sz w:val="28"/>
        </w:rPr>
        <w:t>（十）负责管理全市地质勘查行业和地质工作。编制地质勘查规划并监督检查执行情况。管理全市地质勘查项目。组织实施重大地质矿产勘查专项。负责古生物化石的监督管理。</w:t>
      </w:r>
    </w:p>
    <w:p>
      <w:pPr>
        <w:spacing w:line="500" w:lineRule="exact"/>
        <w:ind w:firstLine="560" w:firstLineChars="200"/>
        <w:jc w:val="left"/>
        <w:rPr>
          <w:rFonts w:ascii="Times New Roman" w:eastAsia="方正仿宋_GBK"/>
          <w:sz w:val="28"/>
        </w:rPr>
      </w:pPr>
      <w:r>
        <w:rPr>
          <w:rFonts w:ascii="Times New Roman" w:eastAsia="方正仿宋_GBK"/>
          <w:sz w:val="28"/>
        </w:rPr>
        <w:t>（十一）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spacing w:line="500" w:lineRule="exact"/>
        <w:ind w:firstLine="560" w:firstLineChars="200"/>
        <w:jc w:val="left"/>
        <w:rPr>
          <w:rFonts w:ascii="Times New Roman" w:eastAsia="方正仿宋_GBK"/>
          <w:sz w:val="28"/>
        </w:rPr>
      </w:pPr>
      <w:r>
        <w:rPr>
          <w:rFonts w:ascii="Times New Roman" w:eastAsia="方正仿宋_GBK"/>
          <w:sz w:val="28"/>
        </w:rPr>
        <w:t>（十二）负责全市矿产资源管理工作。负责矿产资源储量管理及压覆矿产资源管理。负责矿业权管理。会同有关部门负责落实保护性开采的特定矿种、优势矿产的调控及相关管理工作。监督指导矿产资源合理利用和保护。</w:t>
      </w:r>
    </w:p>
    <w:p>
      <w:pPr>
        <w:spacing w:line="500" w:lineRule="exact"/>
        <w:ind w:firstLine="560" w:firstLineChars="200"/>
        <w:jc w:val="left"/>
        <w:rPr>
          <w:rFonts w:ascii="Times New Roman" w:eastAsia="方正仿宋_GBK"/>
          <w:sz w:val="28"/>
        </w:rPr>
      </w:pPr>
      <w:r>
        <w:rPr>
          <w:rFonts w:ascii="Times New Roman" w:eastAsia="方正仿宋_GBK"/>
          <w:sz w:val="28"/>
        </w:rPr>
        <w:t>（十三）负责全市测绘地理信息管理工作。负责基础测绘和测绘行业管理。负责测绘资质资格与信用管理，监督管理地理信息安全和市场秩序。负责地理信息公共服务管理。负责测量标志保护。</w:t>
      </w:r>
    </w:p>
    <w:p>
      <w:pPr>
        <w:spacing w:line="500" w:lineRule="exact"/>
        <w:ind w:firstLine="560" w:firstLineChars="200"/>
        <w:jc w:val="left"/>
        <w:rPr>
          <w:rFonts w:ascii="Times New Roman" w:eastAsia="方正仿宋_GBK"/>
          <w:sz w:val="28"/>
        </w:rPr>
      </w:pPr>
      <w:r>
        <w:rPr>
          <w:rFonts w:ascii="Times New Roman" w:eastAsia="方正仿宋_GBK"/>
          <w:sz w:val="28"/>
        </w:rPr>
        <w:t>（十四）负责组织全市造林绿化工作。指导公益林和商品林的培育，指导、监督全民义务植树、城乡绿化工作。指导林业有害生物防治、检疫工作。承担林业应对气候变化的相关工作。</w:t>
      </w:r>
    </w:p>
    <w:p>
      <w:pPr>
        <w:spacing w:line="500" w:lineRule="exact"/>
        <w:ind w:firstLine="560" w:firstLineChars="200"/>
        <w:jc w:val="left"/>
        <w:rPr>
          <w:rFonts w:ascii="Times New Roman" w:eastAsia="方正仿宋_GBK"/>
          <w:sz w:val="28"/>
        </w:rPr>
      </w:pPr>
      <w:r>
        <w:rPr>
          <w:rFonts w:ascii="Times New Roman" w:eastAsia="方正仿宋_GBK"/>
          <w:sz w:val="28"/>
        </w:rPr>
        <w:t>（十五）负责全市森林、草原、湿地资源的监督管理。组织编制并监督执行全市森林采伐限额。负责林地管理，拟订全市林地保护利用规划并组织实施，指导全市公益林划定和管理工作。管理市属国有林场的森林资源。监督管理草原的开发利用。拟订全市湿地保护规划和相关地方标准并组织实施，监督管理湿地的</w:t>
      </w:r>
    </w:p>
    <w:p>
      <w:pPr>
        <w:spacing w:line="500" w:lineRule="exact"/>
        <w:ind w:firstLine="560" w:firstLineChars="200"/>
        <w:jc w:val="left"/>
        <w:rPr>
          <w:rFonts w:ascii="Times New Roman" w:eastAsia="方正仿宋_GBK"/>
          <w:sz w:val="28"/>
        </w:rPr>
      </w:pPr>
      <w:r>
        <w:rPr>
          <w:rFonts w:ascii="Times New Roman" w:eastAsia="方正仿宋_GBK"/>
          <w:sz w:val="28"/>
        </w:rPr>
        <w:t>开发利用。</w:t>
      </w:r>
    </w:p>
    <w:p>
      <w:pPr>
        <w:spacing w:line="500" w:lineRule="exact"/>
        <w:ind w:firstLine="560" w:firstLineChars="200"/>
        <w:jc w:val="left"/>
        <w:rPr>
          <w:rFonts w:ascii="Times New Roman" w:eastAsia="方正仿宋_GBK"/>
          <w:sz w:val="28"/>
        </w:rPr>
      </w:pPr>
      <w:r>
        <w:rPr>
          <w:rFonts w:ascii="Times New Roman" w:eastAsia="方正仿宋_GBK"/>
          <w:sz w:val="28"/>
        </w:rPr>
        <w:t>（十六）负责监督管理全市荒漠化防治工作。组织开展荒漠调查，组织拟订全市防沙治沙及沙化土地封禁保护区建设规划，拟订相关地方标准和规定并监督实施，监督管理沙化土地的开发利用，组织沙尘暴灾害预测预报和应急处置。</w:t>
      </w:r>
    </w:p>
    <w:p>
      <w:pPr>
        <w:spacing w:line="500" w:lineRule="exact"/>
        <w:ind w:firstLine="560" w:firstLineChars="200"/>
        <w:jc w:val="left"/>
        <w:rPr>
          <w:rFonts w:ascii="Times New Roman" w:eastAsia="方正仿宋_GBK"/>
          <w:sz w:val="28"/>
        </w:rPr>
      </w:pPr>
      <w:r>
        <w:rPr>
          <w:rFonts w:ascii="Times New Roman" w:eastAsia="方正仿宋_GBK"/>
          <w:sz w:val="28"/>
        </w:rPr>
        <w:t>（十七）负责全市陆生野生动植物资源监督管理。组织开展陆生野生动植物资源调查。指导全市陆生野生动植物的救护繁育、栖息地恢复发展、疫源疫病监测，监督管理全市陆生野生动植物猎捕或采集、驯养繁殖或培植、经营利用，按分工监督管理野生动植物进出口。</w:t>
      </w:r>
    </w:p>
    <w:p>
      <w:pPr>
        <w:spacing w:line="500" w:lineRule="exact"/>
        <w:ind w:firstLine="560" w:firstLineChars="200"/>
        <w:jc w:val="left"/>
        <w:rPr>
          <w:rFonts w:ascii="Times New Roman" w:eastAsia="方正仿宋_GBK"/>
          <w:sz w:val="28"/>
        </w:rPr>
      </w:pPr>
      <w:r>
        <w:rPr>
          <w:rFonts w:ascii="Times New Roman" w:eastAsia="方正仿宋_GBK"/>
          <w:sz w:val="28"/>
        </w:rPr>
        <w:t>（十八）负责监督管理全市各类自然保护地。拟订全市各类自然保护地规划和相关地方标准。提出新建、调整各类县（市）级以上自然保护地的审核建议并按程序报批。组织申报世界自然遗产，会同有关部门申报世界自然与文化双重遗产。负责全市生物多样性保护相关工作。</w:t>
      </w:r>
    </w:p>
    <w:p>
      <w:pPr>
        <w:spacing w:line="500" w:lineRule="exact"/>
        <w:ind w:firstLine="560" w:firstLineChars="200"/>
        <w:jc w:val="left"/>
        <w:rPr>
          <w:rFonts w:ascii="Times New Roman" w:eastAsia="方正仿宋_GBK"/>
          <w:sz w:val="28"/>
        </w:rPr>
      </w:pPr>
      <w:r>
        <w:rPr>
          <w:rFonts w:ascii="Times New Roman" w:eastAsia="方正仿宋_GBK"/>
          <w:sz w:val="28"/>
        </w:rPr>
        <w:t>（十九）负责推进全市林业和草原改革相关工作。拟订集体林权制度、国有林场、草原等重大改革意见并监督实施。拟订农村林业发展、维护林业经营者合法权益的政策措施，指导监督农村林地承包经营工作。开展退耕（牧）还林还草，负责天然林保护工作。</w:t>
      </w:r>
    </w:p>
    <w:p>
      <w:pPr>
        <w:spacing w:line="500" w:lineRule="exact"/>
        <w:ind w:firstLine="560" w:firstLineChars="200"/>
        <w:jc w:val="left"/>
        <w:rPr>
          <w:rFonts w:ascii="Times New Roman" w:eastAsia="方正仿宋_GBK"/>
          <w:sz w:val="28"/>
        </w:rPr>
      </w:pPr>
      <w:r>
        <w:rPr>
          <w:rFonts w:ascii="Times New Roman" w:eastAsia="方正仿宋_GBK"/>
          <w:sz w:val="28"/>
        </w:rPr>
        <w:t>（二十）拟订全市林业和草原资源优化配置及木材利用政策，拟订相关林业产业地方标准并监督实施，组织、指导林产品质量监督，指导生态扶贫相关工作。</w:t>
      </w:r>
    </w:p>
    <w:p>
      <w:pPr>
        <w:spacing w:line="500" w:lineRule="exact"/>
        <w:ind w:firstLine="560" w:firstLineChars="200"/>
        <w:jc w:val="left"/>
        <w:rPr>
          <w:rFonts w:ascii="Times New Roman" w:eastAsia="方正仿宋_GBK"/>
          <w:sz w:val="28"/>
        </w:rPr>
      </w:pPr>
      <w:r>
        <w:rPr>
          <w:rFonts w:ascii="Times New Roman" w:eastAsia="方正仿宋_GBK"/>
          <w:sz w:val="28"/>
        </w:rPr>
        <w:t>（二十一）指导全市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w:t>
      </w:r>
    </w:p>
    <w:p>
      <w:pPr>
        <w:spacing w:line="500" w:lineRule="exact"/>
        <w:ind w:firstLine="560" w:firstLineChars="200"/>
        <w:jc w:val="left"/>
        <w:rPr>
          <w:rFonts w:ascii="Times New Roman" w:eastAsia="方正仿宋_GBK"/>
          <w:sz w:val="28"/>
        </w:rPr>
      </w:pPr>
      <w:r>
        <w:rPr>
          <w:rFonts w:ascii="Times New Roman" w:eastAsia="方正仿宋_GBK"/>
          <w:sz w:val="28"/>
        </w:rPr>
        <w:t>（二十二）负责落实全市综合防灾减灾规划相关要求，组织编制全市森林和草原火灾防治规划和防护标准并监督实施，指导开展防火巡护、火源管理、防火设施建设等工作。组织指导开展全市森林和草原防火宣传教育、监测预警、督促检查等防火工作。必要时，可以提请市应急管理局，以市应急指挥机构名义，部署相关防治工作。</w:t>
      </w:r>
    </w:p>
    <w:p>
      <w:pPr>
        <w:spacing w:line="500" w:lineRule="exact"/>
        <w:ind w:firstLine="560" w:firstLineChars="200"/>
        <w:jc w:val="left"/>
        <w:rPr>
          <w:rFonts w:ascii="Times New Roman" w:eastAsia="方正仿宋_GBK"/>
          <w:sz w:val="28"/>
        </w:rPr>
      </w:pPr>
      <w:r>
        <w:rPr>
          <w:rFonts w:ascii="Times New Roman" w:eastAsia="方正仿宋_GBK"/>
          <w:sz w:val="28"/>
        </w:rPr>
        <w:t>（二十三）推动全市自然资源领域科技发展。制定并实施自然资源领域科技创新发展和人才培养规划和计划。贯彻执行技术标准、规程规范。组织实施重大科技工程及创新能力建设，推进自然资源信息化和信息资料的公共服务。</w:t>
      </w:r>
    </w:p>
    <w:p>
      <w:pPr>
        <w:spacing w:line="500" w:lineRule="exact"/>
        <w:ind w:firstLine="560" w:firstLineChars="200"/>
        <w:jc w:val="left"/>
        <w:rPr>
          <w:rFonts w:ascii="Times New Roman" w:eastAsia="方正仿宋_GBK"/>
          <w:sz w:val="28"/>
        </w:rPr>
      </w:pPr>
      <w:r>
        <w:rPr>
          <w:rFonts w:ascii="Times New Roman" w:eastAsia="方正仿宋_GBK"/>
          <w:sz w:val="28"/>
        </w:rPr>
        <w:t>（二十四）查处全市自然资源开发利用和国土空间规划及测绘重大违法案件。</w:t>
      </w:r>
    </w:p>
    <w:p>
      <w:pPr>
        <w:spacing w:line="500" w:lineRule="exact"/>
        <w:ind w:firstLine="560" w:firstLineChars="200"/>
        <w:jc w:val="left"/>
        <w:rPr>
          <w:rFonts w:ascii="Times New Roman" w:eastAsia="方正仿宋_GBK"/>
          <w:sz w:val="28"/>
        </w:rPr>
      </w:pPr>
      <w:r>
        <w:rPr>
          <w:rFonts w:ascii="Times New Roman" w:eastAsia="方正仿宋_GBK"/>
          <w:sz w:val="28"/>
        </w:rPr>
        <w:t>（二十五）完成市委、市政府交办的其他任务。</w:t>
      </w:r>
    </w:p>
    <w:p>
      <w:pPr>
        <w:spacing w:line="500" w:lineRule="exact"/>
        <w:jc w:val="left"/>
        <w:rPr>
          <w:rFonts w:ascii="Times New Roman" w:eastAsia="方正仿宋_GBK"/>
          <w:sz w:val="28"/>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霸州市自然资源和规划局</w:t>
            </w: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行政</w:t>
            </w: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sz w:val="32"/>
          <w:szCs w:val="32"/>
        </w:rPr>
        <w:t>霸州市自然资源和规划局</w:t>
      </w:r>
      <w:r>
        <w:rPr>
          <w:rFonts w:ascii="Times New Roman" w:hAnsi="Times New Roman" w:eastAsia="仿宋_GB2312" w:cs="Times New Roman"/>
          <w:sz w:val="32"/>
          <w:szCs w:val="32"/>
        </w:rPr>
        <w:t>机关的收支包含在部门预算中。</w:t>
      </w:r>
      <w:r>
        <w:rPr>
          <w:rFonts w:hint="eastAsia" w:ascii="Times New Roman" w:hAnsi="Times New Roman" w:eastAsia="仿宋_GB2312" w:cs="Times New Roman"/>
          <w:color w:val="000000" w:themeColor="text1"/>
          <w:sz w:val="32"/>
          <w:szCs w:val="32"/>
        </w:rPr>
        <w:t>因我部门除机关外，无其他下属预算单位，部门预算即为机关预算，不再单独公开机关预算和单位预算。</w:t>
      </w:r>
    </w:p>
    <w:p>
      <w:pPr>
        <w:ind w:firstLine="640"/>
        <w:rPr>
          <w:rFonts w:ascii="楷体_GB2312" w:hAnsi="Times New Roman" w:eastAsia="楷体_GB2312" w:cs="Times New Roman"/>
          <w:b/>
          <w:color w:val="000000" w:themeColor="text1"/>
          <w:sz w:val="32"/>
          <w:szCs w:val="32"/>
        </w:rPr>
      </w:pPr>
      <w:r>
        <w:rPr>
          <w:rFonts w:hint="eastAsia" w:ascii="楷体_GB2312" w:hAnsi="Times New Roman" w:eastAsia="楷体_GB2312" w:cs="Times New Roman"/>
          <w:b/>
          <w:color w:val="000000" w:themeColor="text1"/>
          <w:sz w:val="32"/>
          <w:szCs w:val="32"/>
        </w:rPr>
        <w:t>1、收入说明</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1年预算收入185715.5万元，其中：一般公共预算收入12217.5万元，政府性基金预算收入157400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w:t>
      </w:r>
      <w:r>
        <w:rPr>
          <w:rFonts w:ascii="仿宋_GB2312" w:hAnsi="Times New Roman" w:eastAsia="仿宋_GB2312" w:cs="Times New Roman"/>
          <w:color w:val="000000" w:themeColor="text1"/>
          <w:sz w:val="32"/>
          <w:szCs w:val="32"/>
        </w:rPr>
        <w:t>收入</w:t>
      </w:r>
      <w:r>
        <w:rPr>
          <w:rFonts w:hint="eastAsia" w:ascii="仿宋_GB2312" w:hAnsi="Times New Roman" w:eastAsia="仿宋_GB2312" w:cs="Times New Roman"/>
          <w:color w:val="000000" w:themeColor="text1"/>
          <w:sz w:val="32"/>
          <w:szCs w:val="32"/>
        </w:rPr>
        <w:t>0</w:t>
      </w:r>
      <w:r>
        <w:rPr>
          <w:rFonts w:ascii="仿宋_GB2312" w:hAnsi="Times New Roman" w:eastAsia="仿宋_GB2312" w:cs="Times New Roman"/>
          <w:color w:val="000000" w:themeColor="text1"/>
          <w:sz w:val="32"/>
          <w:szCs w:val="32"/>
        </w:rPr>
        <w:t>万元</w:t>
      </w:r>
      <w:r>
        <w:rPr>
          <w:rFonts w:hint="eastAsia" w:ascii="仿宋_GB2312" w:hAnsi="Times New Roman" w:eastAsia="仿宋_GB2312" w:cs="Times New Roman"/>
          <w:color w:val="000000" w:themeColor="text1"/>
          <w:sz w:val="32"/>
          <w:szCs w:val="32"/>
        </w:rPr>
        <w:t>，财政专户管理资金收入0万元，</w:t>
      </w:r>
      <w:r>
        <w:rPr>
          <w:rFonts w:ascii="仿宋_GB2312" w:hAnsi="Times New Roman" w:eastAsia="仿宋_GB2312" w:cs="Times New Roman"/>
          <w:color w:val="000000" w:themeColor="text1"/>
          <w:sz w:val="32"/>
          <w:szCs w:val="32"/>
        </w:rPr>
        <w:t>上级补助收入</w:t>
      </w:r>
      <w:r>
        <w:rPr>
          <w:rFonts w:hint="eastAsia" w:ascii="仿宋_GB2312" w:hAnsi="Times New Roman" w:eastAsia="仿宋_GB2312" w:cs="Times New Roman"/>
          <w:color w:val="000000" w:themeColor="text1"/>
          <w:sz w:val="32"/>
          <w:szCs w:val="32"/>
        </w:rPr>
        <w:t>0</w:t>
      </w:r>
      <w:r>
        <w:rPr>
          <w:rFonts w:ascii="仿宋_GB2312" w:hAnsi="Times New Roman" w:eastAsia="仿宋_GB2312" w:cs="Times New Roman"/>
          <w:color w:val="000000" w:themeColor="text1"/>
          <w:sz w:val="32"/>
          <w:szCs w:val="32"/>
        </w:rPr>
        <w:t>万元，</w:t>
      </w:r>
      <w:r>
        <w:rPr>
          <w:rFonts w:hint="eastAsia" w:ascii="仿宋_GB2312" w:hAnsi="Times New Roman" w:eastAsia="仿宋_GB2312" w:cs="Times New Roman"/>
          <w:color w:val="000000" w:themeColor="text1"/>
          <w:sz w:val="32"/>
          <w:szCs w:val="32"/>
        </w:rPr>
        <w:t>事业收入0万元，经营</w:t>
      </w:r>
      <w:r>
        <w:rPr>
          <w:rFonts w:ascii="仿宋_GB2312" w:hAnsi="Times New Roman" w:eastAsia="仿宋_GB2312" w:cs="Times New Roman"/>
          <w:color w:val="000000" w:themeColor="text1"/>
          <w:sz w:val="32"/>
          <w:szCs w:val="32"/>
        </w:rPr>
        <w:t>收入</w:t>
      </w:r>
      <w:r>
        <w:rPr>
          <w:rFonts w:hint="eastAsia" w:ascii="仿宋_GB2312" w:hAnsi="Times New Roman" w:eastAsia="仿宋_GB2312" w:cs="Times New Roman"/>
          <w:color w:val="000000" w:themeColor="text1"/>
          <w:sz w:val="32"/>
          <w:szCs w:val="32"/>
        </w:rPr>
        <w:t>0万元，附属单位上缴</w:t>
      </w:r>
      <w:r>
        <w:rPr>
          <w:rFonts w:ascii="仿宋_GB2312" w:hAnsi="Times New Roman" w:eastAsia="仿宋_GB2312" w:cs="Times New Roman"/>
          <w:color w:val="000000" w:themeColor="text1"/>
          <w:sz w:val="32"/>
          <w:szCs w:val="32"/>
        </w:rPr>
        <w:t>收入</w:t>
      </w:r>
      <w:r>
        <w:rPr>
          <w:rFonts w:hint="eastAsia" w:ascii="仿宋_GB2312" w:hAnsi="Times New Roman" w:eastAsia="仿宋_GB2312" w:cs="Times New Roman"/>
          <w:color w:val="000000" w:themeColor="text1"/>
          <w:sz w:val="32"/>
          <w:szCs w:val="32"/>
        </w:rPr>
        <w:t>0</w:t>
      </w:r>
      <w:r>
        <w:rPr>
          <w:rFonts w:ascii="仿宋_GB2312" w:hAnsi="Times New Roman" w:eastAsia="仿宋_GB2312" w:cs="Times New Roman"/>
          <w:color w:val="000000" w:themeColor="text1"/>
          <w:sz w:val="32"/>
          <w:szCs w:val="32"/>
        </w:rPr>
        <w:t>万元，</w:t>
      </w:r>
      <w:r>
        <w:rPr>
          <w:rFonts w:hint="eastAsia" w:ascii="仿宋_GB2312" w:hAnsi="Times New Roman" w:eastAsia="仿宋_GB2312" w:cs="Times New Roman"/>
          <w:color w:val="000000" w:themeColor="text1"/>
          <w:sz w:val="32"/>
          <w:szCs w:val="32"/>
        </w:rPr>
        <w:t>其他收入0万元，上年结转16098万元。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收支预算总表支出栏、基本支出表、项目支出表按经济分类和支出功能分类科目编制，反映霸州市自然资源和规划局20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1年度部门预算中支出预算的总体情况。</w:t>
      </w: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1年本部门支出预算169617.5万元，其中：基本支出7131.49万元，包括：人员类项目经费6398.96</w:t>
      </w:r>
      <w:r>
        <w:rPr>
          <w:rFonts w:ascii="仿宋_GB2312" w:hAnsi="Times New Roman" w:eastAsia="仿宋_GB2312" w:cs="Times New Roman"/>
          <w:color w:val="000000" w:themeColor="text1"/>
          <w:sz w:val="32"/>
          <w:szCs w:val="32"/>
        </w:rPr>
        <w:t>万元</w:t>
      </w:r>
      <w:r>
        <w:rPr>
          <w:rFonts w:hint="eastAsia" w:ascii="仿宋_GB2312" w:hAnsi="Times New Roman" w:eastAsia="仿宋_GB2312" w:cs="Times New Roman"/>
          <w:color w:val="000000" w:themeColor="text1"/>
          <w:sz w:val="32"/>
          <w:szCs w:val="32"/>
        </w:rPr>
        <w:t>和运转类公用项目经费732.53</w:t>
      </w:r>
      <w:r>
        <w:rPr>
          <w:rFonts w:ascii="仿宋_GB2312" w:hAnsi="Times New Roman" w:eastAsia="仿宋_GB2312" w:cs="Times New Roman"/>
          <w:color w:val="000000" w:themeColor="text1"/>
          <w:sz w:val="32"/>
          <w:szCs w:val="32"/>
        </w:rPr>
        <w:t>万元</w:t>
      </w:r>
      <w:r>
        <w:rPr>
          <w:rFonts w:hint="eastAsia" w:ascii="仿宋_GB2312" w:hAnsi="Times New Roman" w:eastAsia="仿宋_GB2312" w:cs="Times New Roman"/>
          <w:color w:val="000000" w:themeColor="text1"/>
          <w:sz w:val="32"/>
          <w:szCs w:val="32"/>
        </w:rPr>
        <w:t>；运转类其他及特定目标类项目支出162486.01万元，全部</w:t>
      </w:r>
      <w:r>
        <w:rPr>
          <w:rFonts w:hint="eastAsia" w:ascii="仿宋_GB2312" w:hAnsi="Times New Roman" w:eastAsia="仿宋_GB2312" w:cs="Times New Roman"/>
          <w:sz w:val="32"/>
          <w:szCs w:val="32"/>
        </w:rPr>
        <w:t>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主要为国有土地收储成本、开发区节约集约全面评价经费、异地股买补充耕地指标款、土地评估测量经费、征地补偿款支出等；上缴上级支出0万元，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1年预算收支安排。169617.5万元，较2020预算增加6293.81万元，其中：基本支出增加686.35万元，主要为人员经费支出和公用经费支出；项目支出增加5598.46万元，主要为增加征地补偿项目支出。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2021年，我单位运行经费共计安排732.53万元，主要用于办公区的日常维修、办公用房水电费、办公用房取暖费、办公及印刷费，邮电费、差旅费、福利费、一般设备购置费、办公用房物业管</w:t>
      </w:r>
      <w:bookmarkStart w:id="72" w:name="_GoBack"/>
      <w:bookmarkEnd w:id="72"/>
      <w:r>
        <w:rPr>
          <w:rFonts w:hint="eastAsia" w:ascii="仿宋_GB2312" w:hAnsi="Times New Roman" w:eastAsia="仿宋_GB2312" w:cs="Times New Roman"/>
          <w:sz w:val="32"/>
          <w:szCs w:val="32"/>
        </w:rPr>
        <w:t>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1年，我部门“三公”经费预算安排68.26万元，其中：因公出国（境）费0万元；公务用车购置及运维费65万元（其中：公务用车购置费0万元</w:t>
      </w:r>
      <w:r>
        <w:rPr>
          <w:rFonts w:hint="eastAsia" w:ascii="仿宋_GB2312" w:hAnsi="Times New Roman" w:eastAsia="仿宋_GB2312" w:cs="Times New Roman"/>
          <w:color w:val="000000" w:themeColor="text1"/>
          <w:sz w:val="32"/>
          <w:szCs w:val="32"/>
        </w:rPr>
        <w:t>，公务用车运行维护费65万元)；公务接待费3.26万元，较2020年“三公”经费减少0.55万元。主要是因为因公出国（境）费与2020年持平，无增减变化；公务用车购置费增加65万元，公务用车购置费与2020年持平，无增减变化；公务用车运行维护费与2020年持平，无增减变化；公务接待费减少0.55万元，</w:t>
      </w:r>
      <w:r>
        <w:rPr>
          <w:rFonts w:ascii="仿宋_GB2312" w:hAnsi="Times New Roman" w:eastAsia="仿宋_GB2312" w:cs="Times New Roman"/>
          <w:color w:val="000000" w:themeColor="text1"/>
          <w:sz w:val="32"/>
          <w:szCs w:val="32"/>
        </w:rPr>
        <w:t>减少原因为</w:t>
      </w:r>
      <w:r>
        <w:rPr>
          <w:rFonts w:hint="eastAsia" w:ascii="仿宋_GB2312" w:hAnsi="Times New Roman" w:eastAsia="仿宋_GB2312" w:cs="Times New Roman"/>
          <w:color w:val="000000" w:themeColor="text1"/>
          <w:sz w:val="32"/>
          <w:szCs w:val="32"/>
        </w:rPr>
        <w:t>人员减少。</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rPr>
          <w:rFonts w:ascii="新宋体" w:hAnsi="新宋体" w:eastAsia="新宋体" w:cs="新宋体"/>
          <w:color w:val="000000"/>
          <w:kern w:val="0"/>
          <w:sz w:val="32"/>
          <w:szCs w:val="32"/>
        </w:rPr>
      </w:pPr>
      <w:r>
        <w:rPr>
          <w:rFonts w:hint="eastAsia" w:ascii="新宋体" w:hAnsi="新宋体" w:eastAsia="新宋体" w:cs="新宋体"/>
          <w:color w:val="000000"/>
          <w:kern w:val="0"/>
          <w:sz w:val="32"/>
          <w:szCs w:val="32"/>
        </w:rPr>
        <w:t>按照市委、市政府总体安排部署，结合部门工作职能，进一步加强自然资源的保护和合理开发利用，建立健全源头保护和全过程修复治理相结合的工作机制，实现整体保护、系统修复、综合治理。切实加大生态系统保护力度，实施重要生态系统保护和修复工程，加强对森林监督管理的统筹协调，大力推进国土绿化，保障全市生态安全。加快自然保护地体系建设，依法加强全市各类自然保护地的管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r>
        <w:rPr>
          <w:rFonts w:ascii="新宋体" w:hAnsi="新宋体" w:eastAsia="新宋体" w:cs="新宋体"/>
          <w:color w:val="000000"/>
          <w:kern w:val="0"/>
          <w:sz w:val="32"/>
          <w:szCs w:val="32"/>
        </w:rPr>
        <w:t>2020</w:t>
      </w:r>
      <w:r>
        <w:rPr>
          <w:rFonts w:hint="eastAsia" w:ascii="新宋体" w:hAnsi="新宋体" w:eastAsia="新宋体" w:cs="新宋体"/>
          <w:color w:val="000000"/>
          <w:kern w:val="0"/>
          <w:sz w:val="32"/>
          <w:szCs w:val="32"/>
        </w:rPr>
        <w:t>年度土地收益率达到</w:t>
      </w:r>
      <w:r>
        <w:rPr>
          <w:rFonts w:ascii="新宋体" w:hAnsi="新宋体" w:eastAsia="新宋体" w:cs="新宋体"/>
          <w:color w:val="000000"/>
          <w:kern w:val="0"/>
          <w:sz w:val="32"/>
          <w:szCs w:val="32"/>
        </w:rPr>
        <w:t>90%</w:t>
      </w:r>
      <w:r>
        <w:rPr>
          <w:rFonts w:hint="eastAsia" w:ascii="新宋体" w:hAnsi="新宋体" w:eastAsia="新宋体" w:cs="新宋体"/>
          <w:color w:val="000000"/>
          <w:kern w:val="0"/>
          <w:sz w:val="32"/>
          <w:szCs w:val="32"/>
        </w:rPr>
        <w:t>，土地供应率达到</w:t>
      </w:r>
      <w:r>
        <w:rPr>
          <w:rFonts w:ascii="新宋体" w:hAnsi="新宋体" w:eastAsia="新宋体" w:cs="新宋体"/>
          <w:color w:val="000000"/>
          <w:kern w:val="0"/>
          <w:sz w:val="32"/>
          <w:szCs w:val="32"/>
        </w:rPr>
        <w:t>100%</w:t>
      </w:r>
      <w:r>
        <w:rPr>
          <w:rFonts w:hint="eastAsia" w:ascii="新宋体" w:hAnsi="新宋体" w:eastAsia="新宋体" w:cs="新宋体"/>
          <w:color w:val="000000"/>
          <w:kern w:val="0"/>
          <w:sz w:val="32"/>
          <w:szCs w:val="32"/>
        </w:rPr>
        <w:t>，森林绿化率达到</w:t>
      </w:r>
      <w:r>
        <w:rPr>
          <w:rFonts w:ascii="新宋体" w:hAnsi="新宋体" w:eastAsia="新宋体" w:cs="新宋体"/>
          <w:color w:val="000000"/>
          <w:kern w:val="0"/>
          <w:sz w:val="32"/>
          <w:szCs w:val="32"/>
        </w:rPr>
        <w:t>32%</w:t>
      </w:r>
      <w:r>
        <w:rPr>
          <w:rFonts w:hint="eastAsia" w:ascii="新宋体" w:hAnsi="新宋体" w:eastAsia="新宋体" w:cs="新宋体"/>
          <w:color w:val="000000"/>
          <w:kern w:val="0"/>
          <w:sz w:val="32"/>
          <w:szCs w:val="32"/>
        </w:rPr>
        <w:t>，闲置土地处置任务完成率</w:t>
      </w:r>
      <w:r>
        <w:rPr>
          <w:rFonts w:ascii="新宋体" w:hAnsi="新宋体" w:eastAsia="新宋体" w:cs="新宋体"/>
          <w:color w:val="000000"/>
          <w:kern w:val="0"/>
          <w:sz w:val="32"/>
          <w:szCs w:val="32"/>
        </w:rPr>
        <w:t>90%</w:t>
      </w:r>
      <w:r>
        <w:rPr>
          <w:rFonts w:hint="eastAsia" w:ascii="新宋体" w:hAnsi="新宋体" w:eastAsia="新宋体" w:cs="新宋体"/>
          <w:color w:val="000000"/>
          <w:kern w:val="0"/>
          <w:sz w:val="32"/>
          <w:szCs w:val="32"/>
        </w:rPr>
        <w:t>，全市耕地保有量</w:t>
      </w:r>
      <w:r>
        <w:rPr>
          <w:rFonts w:ascii="新宋体" w:hAnsi="新宋体" w:eastAsia="新宋体" w:cs="新宋体"/>
          <w:color w:val="000000"/>
          <w:kern w:val="0"/>
          <w:sz w:val="32"/>
          <w:szCs w:val="32"/>
        </w:rPr>
        <w:t>34505.11</w:t>
      </w:r>
      <w:r>
        <w:rPr>
          <w:rFonts w:hint="eastAsia" w:ascii="新宋体" w:hAnsi="新宋体" w:eastAsia="新宋体" w:cs="新宋体"/>
          <w:color w:val="000000"/>
          <w:kern w:val="0"/>
          <w:sz w:val="32"/>
          <w:szCs w:val="32"/>
        </w:rPr>
        <w:t>公顷，基本农田保护面积</w:t>
      </w:r>
      <w:r>
        <w:rPr>
          <w:rFonts w:ascii="新宋体" w:hAnsi="新宋体" w:eastAsia="新宋体" w:cs="新宋体"/>
          <w:color w:val="000000"/>
          <w:kern w:val="0"/>
          <w:sz w:val="32"/>
          <w:szCs w:val="32"/>
        </w:rPr>
        <w:t>34445.39</w:t>
      </w:r>
      <w:r>
        <w:rPr>
          <w:rFonts w:hint="eastAsia" w:ascii="新宋体" w:hAnsi="新宋体" w:eastAsia="新宋体" w:cs="新宋体"/>
          <w:color w:val="000000"/>
          <w:kern w:val="0"/>
          <w:sz w:val="32"/>
          <w:szCs w:val="32"/>
        </w:rPr>
        <w:t>公顷，违法违规用地、建设、采矿、采砂和破坏生态环境问题整改率</w:t>
      </w:r>
      <w:r>
        <w:rPr>
          <w:rFonts w:ascii="新宋体" w:hAnsi="新宋体" w:eastAsia="新宋体" w:cs="新宋体"/>
          <w:color w:val="000000"/>
          <w:kern w:val="0"/>
          <w:sz w:val="32"/>
          <w:szCs w:val="32"/>
        </w:rPr>
        <w:t>85%</w:t>
      </w:r>
      <w:r>
        <w:rPr>
          <w:rFonts w:hint="eastAsia" w:ascii="新宋体" w:hAnsi="新宋体" w:eastAsia="新宋体" w:cs="新宋体"/>
          <w:color w:val="000000"/>
          <w:kern w:val="0"/>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321"/>
        <w:jc w:val="both"/>
        <w:rPr>
          <w:rFonts w:ascii="Times New Roman" w:cs="Times New Roman"/>
          <w:b/>
          <w:bCs/>
          <w:color w:val="000000"/>
        </w:rPr>
      </w:pPr>
      <w:r>
        <w:rPr>
          <w:rFonts w:hint="eastAsia" w:ascii="新宋体" w:hAnsi="新宋体" w:eastAsia="新宋体" w:cs="新宋体"/>
          <w:b/>
          <w:bCs/>
          <w:color w:val="000000"/>
        </w:rPr>
        <w:t>1、建立统一的国土空间规划体系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Times New Roman" w:cs="Times New Roman"/>
        </w:rPr>
      </w:pPr>
      <w:r>
        <w:rPr>
          <w:rFonts w:hint="eastAsia" w:ascii="新宋体" w:hAnsi="新宋体" w:eastAsia="新宋体" w:cs="新宋体"/>
          <w:color w:val="000000"/>
          <w:sz w:val="32"/>
          <w:szCs w:val="32"/>
        </w:rPr>
        <w:t>绩效目标：组织开展国土空间总体规划编制工作，深化完善规划大纲，按照统一标准制作规划成果数据库，并与规划编制工作同步建设；组织开展乡镇国土空间规划编制工作，制定规划编制工作方案，做好本级规划编制工作经费的资金保障工作，形成规划文本，绘制相关图件；组织开展村庄规划编制工作，</w:t>
      </w:r>
      <w:r>
        <w:rPr>
          <w:rFonts w:hint="eastAsia" w:ascii="新宋体" w:hAnsi="新宋体" w:eastAsia="新宋体" w:cs="新宋体"/>
          <w:sz w:val="32"/>
          <w:szCs w:val="32"/>
        </w:rPr>
        <w:t>明确城郊融合类、集聚提升类、特色保护类、搬迁撤并类等村庄类型，作为专章纳入国土空间总体规划。</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960"/>
        <w:jc w:val="both"/>
        <w:rPr>
          <w:rFonts w:ascii="Times New Roman" w:cs="Times New Roman"/>
          <w:color w:val="000000"/>
        </w:rPr>
      </w:pPr>
      <w:r>
        <w:rPr>
          <w:rFonts w:hint="eastAsia" w:ascii="新宋体" w:hAnsi="新宋体" w:eastAsia="新宋体" w:cs="新宋体"/>
          <w:color w:val="000000"/>
        </w:rPr>
        <w:t>绩效指标：</w:t>
      </w:r>
      <w:r>
        <w:rPr>
          <w:rFonts w:ascii="新宋体" w:hAnsi="新宋体" w:eastAsia="新宋体" w:cs="新宋体"/>
          <w:color w:val="000000"/>
        </w:rPr>
        <w:t>2021</w:t>
      </w:r>
      <w:r>
        <w:rPr>
          <w:rFonts w:hint="eastAsia" w:ascii="新宋体" w:hAnsi="新宋体" w:eastAsia="新宋体" w:cs="新宋体"/>
          <w:color w:val="000000"/>
        </w:rPr>
        <w:t>年底完成国土空间总体规划编制工作，完成乡镇国土空间规划编制工作，完成村庄规划编制工作；专家评审验收通过率</w:t>
      </w:r>
      <w:r>
        <w:rPr>
          <w:rFonts w:ascii="新宋体" w:hAnsi="新宋体" w:eastAsia="新宋体" w:cs="新宋体"/>
          <w:color w:val="000000"/>
        </w:rPr>
        <w:t>100%</w:t>
      </w:r>
      <w:r>
        <w:rPr>
          <w:rFonts w:hint="eastAsia" w:ascii="新宋体" w:hAnsi="新宋体" w:eastAsia="新宋体" w:cs="新宋体"/>
          <w:color w:val="000000"/>
        </w:rPr>
        <w:t>；设计功能实现率</w:t>
      </w:r>
      <w:r>
        <w:rPr>
          <w:rFonts w:ascii="新宋体" w:hAnsi="新宋体" w:eastAsia="新宋体" w:cs="新宋体"/>
          <w:color w:val="000000"/>
        </w:rPr>
        <w:t>100%</w:t>
      </w:r>
      <w:r>
        <w:rPr>
          <w:rFonts w:hint="eastAsia" w:ascii="新宋体" w:hAnsi="新宋体" w:eastAsia="新宋体" w:cs="新宋体"/>
          <w:color w:val="000000"/>
        </w:rPr>
        <w:t>；群众满意度</w:t>
      </w:r>
      <w:r>
        <w:rPr>
          <w:rFonts w:ascii="新宋体" w:hAnsi="新宋体" w:eastAsia="新宋体" w:cs="新宋体"/>
          <w:color w:val="000000"/>
        </w:rPr>
        <w:t>85%</w:t>
      </w:r>
      <w:r>
        <w:rPr>
          <w:rFonts w:hint="eastAsia" w:ascii="新宋体" w:hAnsi="新宋体" w:eastAsia="新宋体" w:cs="新宋体"/>
          <w:color w:val="000000"/>
        </w:rPr>
        <w:t>；规划设计执行率</w:t>
      </w:r>
      <w:r>
        <w:rPr>
          <w:rFonts w:ascii="新宋体" w:hAnsi="新宋体" w:eastAsia="新宋体" w:cs="新宋体"/>
          <w:color w:val="000000"/>
        </w:rPr>
        <w:t>100%</w:t>
      </w:r>
      <w:r>
        <w:rPr>
          <w:rFonts w:hint="eastAsia" w:ascii="新宋体" w:hAnsi="新宋体" w:eastAsia="新宋体" w:cs="新宋体"/>
          <w:color w:val="000000"/>
        </w:rPr>
        <w:t>。</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jc w:val="both"/>
        <w:rPr>
          <w:rFonts w:ascii="Times New Roman" w:cs="Times New Roman"/>
          <w:b/>
          <w:bCs/>
          <w:color w:val="000000"/>
        </w:rPr>
      </w:pPr>
      <w:r>
        <w:rPr>
          <w:rFonts w:hint="eastAsia" w:ascii="新宋体" w:hAnsi="新宋体" w:eastAsia="新宋体" w:cs="新宋体"/>
          <w:b/>
          <w:bCs/>
        </w:rPr>
        <w:t>2、持续完善用地要素保障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Times New Roman" w:cs="Times New Roman"/>
          <w:color w:val="000000"/>
          <w:sz w:val="32"/>
          <w:szCs w:val="32"/>
        </w:rPr>
      </w:pPr>
      <w:r>
        <w:rPr>
          <w:rFonts w:hint="eastAsia" w:ascii="新宋体" w:hAnsi="新宋体" w:eastAsia="新宋体" w:cs="新宋体"/>
          <w:color w:val="000000"/>
          <w:sz w:val="32"/>
          <w:szCs w:val="32"/>
        </w:rPr>
        <w:t>绩效目标：合理安排年度建设用地计划，合理分配供地结构，及时组织对城镇土地定级和基准地价评估，合理调整增减挂钩政策，对照增减挂钩信息备案系统数据，对于拆旧区无法全部复垦且建新区已经动工建设的区域，进行相应核减并调整实施规划方案。</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960"/>
        <w:jc w:val="both"/>
        <w:rPr>
          <w:rFonts w:ascii="Times New Roman" w:cs="Times New Roman"/>
          <w:color w:val="000000"/>
          <w:shd w:val="clear" w:color="auto" w:fill="808000"/>
        </w:rPr>
      </w:pPr>
      <w:r>
        <w:rPr>
          <w:rFonts w:hint="eastAsia" w:ascii="新宋体" w:hAnsi="新宋体" w:eastAsia="新宋体" w:cs="新宋体"/>
          <w:color w:val="000000"/>
        </w:rPr>
        <w:t>绩效指标：城镇土地定级与基准地价评估覆盖范围</w:t>
      </w:r>
      <w:r>
        <w:rPr>
          <w:rFonts w:ascii="新宋体" w:hAnsi="新宋体" w:eastAsia="新宋体" w:cs="新宋体"/>
          <w:color w:val="000000"/>
        </w:rPr>
        <w:t>220</w:t>
      </w:r>
      <w:r>
        <w:rPr>
          <w:rFonts w:hint="eastAsia" w:ascii="新宋体" w:hAnsi="新宋体" w:eastAsia="新宋体" w:cs="新宋体"/>
          <w:color w:val="000000"/>
        </w:rPr>
        <w:t>平方公里，城镇土地定级与基准地价评估项目持续发挥作用的年限</w:t>
      </w:r>
      <w:r>
        <w:rPr>
          <w:rFonts w:ascii="新宋体" w:hAnsi="新宋体" w:eastAsia="新宋体" w:cs="新宋体"/>
          <w:color w:val="000000"/>
        </w:rPr>
        <w:t>3</w:t>
      </w:r>
      <w:r>
        <w:rPr>
          <w:rFonts w:hint="eastAsia" w:ascii="新宋体" w:hAnsi="新宋体" w:eastAsia="新宋体" w:cs="新宋体"/>
          <w:color w:val="000000"/>
        </w:rPr>
        <w:t>年，标定地价公布率</w:t>
      </w:r>
      <w:r>
        <w:rPr>
          <w:rFonts w:ascii="新宋体" w:hAnsi="新宋体" w:eastAsia="新宋体" w:cs="新宋体"/>
          <w:color w:val="000000"/>
        </w:rPr>
        <w:t>100%</w:t>
      </w:r>
      <w:r>
        <w:rPr>
          <w:rFonts w:hint="eastAsia" w:ascii="新宋体" w:hAnsi="新宋体" w:eastAsia="新宋体" w:cs="新宋体"/>
          <w:color w:val="000000"/>
        </w:rPr>
        <w:t>；全年批次征收集体土地</w:t>
      </w:r>
      <w:r>
        <w:rPr>
          <w:rFonts w:ascii="新宋体" w:hAnsi="新宋体" w:eastAsia="新宋体" w:cs="新宋体"/>
          <w:color w:val="000000"/>
        </w:rPr>
        <w:t>1000</w:t>
      </w:r>
      <w:r>
        <w:rPr>
          <w:rFonts w:hint="eastAsia" w:ascii="新宋体" w:hAnsi="新宋体" w:eastAsia="新宋体" w:cs="新宋体"/>
          <w:color w:val="000000"/>
        </w:rPr>
        <w:t>亩，组卷报批</w:t>
      </w:r>
      <w:r>
        <w:rPr>
          <w:rFonts w:ascii="新宋体" w:hAnsi="新宋体" w:eastAsia="新宋体" w:cs="新宋体"/>
          <w:color w:val="000000"/>
        </w:rPr>
        <w:t>3</w:t>
      </w:r>
      <w:r>
        <w:rPr>
          <w:rFonts w:hint="eastAsia" w:ascii="新宋体" w:hAnsi="新宋体" w:eastAsia="新宋体" w:cs="新宋体"/>
          <w:color w:val="000000"/>
        </w:rPr>
        <w:t>个单独选址项目，面积</w:t>
      </w:r>
      <w:r>
        <w:rPr>
          <w:rFonts w:ascii="新宋体" w:hAnsi="新宋体" w:eastAsia="新宋体" w:cs="新宋体"/>
          <w:color w:val="000000"/>
        </w:rPr>
        <w:t>2054</w:t>
      </w:r>
      <w:r>
        <w:rPr>
          <w:rFonts w:hint="eastAsia" w:ascii="新宋体" w:hAnsi="新宋体" w:eastAsia="新宋体" w:cs="新宋体"/>
          <w:color w:val="000000"/>
        </w:rPr>
        <w:t>亩；完成供地</w:t>
      </w:r>
      <w:r>
        <w:rPr>
          <w:rFonts w:ascii="新宋体" w:hAnsi="新宋体" w:eastAsia="新宋体" w:cs="新宋体"/>
          <w:color w:val="000000"/>
        </w:rPr>
        <w:t>3500</w:t>
      </w:r>
      <w:r>
        <w:rPr>
          <w:rFonts w:hint="eastAsia" w:ascii="新宋体" w:hAnsi="新宋体" w:eastAsia="新宋体" w:cs="新宋体"/>
          <w:color w:val="000000"/>
        </w:rPr>
        <w:t>亩，其中住宅用地</w:t>
      </w:r>
      <w:r>
        <w:rPr>
          <w:rFonts w:ascii="新宋体" w:hAnsi="新宋体" w:eastAsia="新宋体" w:cs="新宋体"/>
          <w:color w:val="000000"/>
        </w:rPr>
        <w:t>2000</w:t>
      </w:r>
      <w:r>
        <w:rPr>
          <w:rFonts w:hint="eastAsia" w:ascii="新宋体" w:hAnsi="新宋体" w:eastAsia="新宋体" w:cs="新宋体"/>
          <w:color w:val="000000"/>
        </w:rPr>
        <w:t>亩，工业用地</w:t>
      </w:r>
      <w:r>
        <w:rPr>
          <w:rFonts w:ascii="新宋体" w:hAnsi="新宋体" w:eastAsia="新宋体" w:cs="新宋体"/>
          <w:color w:val="000000"/>
        </w:rPr>
        <w:t>1000</w:t>
      </w:r>
      <w:r>
        <w:rPr>
          <w:rFonts w:hint="eastAsia" w:ascii="新宋体" w:hAnsi="新宋体" w:eastAsia="新宋体" w:cs="新宋体"/>
          <w:color w:val="000000"/>
        </w:rPr>
        <w:t>亩，其他用地</w:t>
      </w:r>
      <w:r>
        <w:rPr>
          <w:rFonts w:ascii="新宋体" w:hAnsi="新宋体" w:eastAsia="新宋体" w:cs="新宋体"/>
          <w:color w:val="000000"/>
        </w:rPr>
        <w:t>500</w:t>
      </w:r>
      <w:r>
        <w:rPr>
          <w:rFonts w:hint="eastAsia" w:ascii="新宋体" w:hAnsi="新宋体" w:eastAsia="新宋体" w:cs="新宋体"/>
          <w:color w:val="000000"/>
        </w:rPr>
        <w:t>亩，土地供应率达到</w:t>
      </w:r>
      <w:r>
        <w:rPr>
          <w:rFonts w:ascii="新宋体" w:hAnsi="新宋体" w:eastAsia="新宋体" w:cs="新宋体"/>
          <w:color w:val="000000"/>
        </w:rPr>
        <w:t>100%</w:t>
      </w:r>
      <w:r>
        <w:rPr>
          <w:rFonts w:hint="eastAsia" w:ascii="新宋体" w:hAnsi="新宋体" w:eastAsia="新宋体" w:cs="新宋体"/>
          <w:color w:val="000000"/>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Times New Roman" w:cs="Times New Roman"/>
          <w:sz w:val="32"/>
          <w:szCs w:val="32"/>
        </w:rPr>
      </w:pPr>
      <w:r>
        <w:rPr>
          <w:rFonts w:ascii="新宋体" w:eastAsia="新宋体" w:cs="新宋体"/>
          <w:b/>
          <w:bCs/>
          <w:color w:val="000000"/>
        </w:rPr>
        <w:t xml:space="preserve">   </w:t>
      </w:r>
      <w:r>
        <w:rPr>
          <w:rFonts w:hint="eastAsia" w:ascii="新宋体" w:eastAsia="新宋体" w:cs="新宋体"/>
          <w:b/>
          <w:bCs/>
          <w:color w:val="000000"/>
        </w:rPr>
        <w:t xml:space="preserve"> </w:t>
      </w:r>
      <w:r>
        <w:rPr>
          <w:rFonts w:ascii="新宋体" w:eastAsia="新宋体" w:cs="新宋体"/>
          <w:b/>
          <w:bCs/>
          <w:color w:val="000000"/>
        </w:rPr>
        <w:t xml:space="preserve">  </w:t>
      </w:r>
      <w:r>
        <w:rPr>
          <w:rFonts w:hint="eastAsia" w:ascii="新宋体" w:hAnsi="新宋体" w:eastAsia="新宋体" w:cs="新宋体"/>
          <w:b/>
          <w:bCs/>
          <w:color w:val="000000"/>
          <w:sz w:val="32"/>
          <w:szCs w:val="32"/>
        </w:rPr>
        <w:t>3、完成春造林绿化任务</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both"/>
        <w:rPr>
          <w:rFonts w:ascii="Times New Roman" w:cs="Times New Roman"/>
        </w:rPr>
      </w:pPr>
      <w:r>
        <w:rPr>
          <w:rFonts w:hint="eastAsia" w:ascii="新宋体" w:hAnsi="新宋体" w:eastAsia="新宋体" w:cs="新宋体"/>
        </w:rPr>
        <w:t>绩效目标：按照全市造林绿化方案，及时做好基数摸排工作，落实种植地块，组织完成苗木购买及种植工作，完成廊坊市下达的今冬明春造林绿化任务</w:t>
      </w:r>
      <w:r>
        <w:rPr>
          <w:rFonts w:hint="eastAsia" w:ascii="新宋体" w:hAnsi="新宋体" w:eastAsia="新宋体" w:cs="新宋体"/>
          <w:color w:val="000000"/>
        </w:rPr>
        <w:t>。</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both"/>
        <w:rPr>
          <w:rFonts w:ascii="Times New Roman" w:cs="Times New Roman"/>
        </w:rPr>
      </w:pPr>
      <w:r>
        <w:rPr>
          <w:rFonts w:hint="eastAsia" w:ascii="新宋体" w:hAnsi="新宋体" w:eastAsia="新宋体" w:cs="新宋体"/>
        </w:rPr>
        <w:t>绩效指标：完成造林绿化面积</w:t>
      </w:r>
      <w:r>
        <w:rPr>
          <w:rFonts w:ascii="新宋体" w:hAnsi="新宋体" w:eastAsia="新宋体" w:cs="新宋体"/>
        </w:rPr>
        <w:t>2.7</w:t>
      </w:r>
      <w:r>
        <w:rPr>
          <w:rFonts w:hint="eastAsia" w:ascii="新宋体" w:hAnsi="新宋体" w:eastAsia="新宋体" w:cs="新宋体"/>
        </w:rPr>
        <w:t>万亩，</w:t>
      </w:r>
      <w:r>
        <w:rPr>
          <w:rFonts w:hint="eastAsia" w:ascii="新宋体" w:hAnsi="新宋体" w:eastAsia="新宋体" w:cs="新宋体"/>
          <w:color w:val="000000"/>
        </w:rPr>
        <w:t>森林覆盖率贡献值达到</w:t>
      </w:r>
      <w:r>
        <w:rPr>
          <w:rFonts w:ascii="新宋体" w:hAnsi="新宋体" w:eastAsia="新宋体" w:cs="新宋体"/>
          <w:color w:val="000000"/>
        </w:rPr>
        <w:t>15%</w:t>
      </w:r>
      <w:r>
        <w:rPr>
          <w:rFonts w:hint="eastAsia" w:ascii="新宋体" w:hAnsi="新宋体" w:eastAsia="新宋体" w:cs="新宋体"/>
        </w:rPr>
        <w:t>，苗木成活率达到</w:t>
      </w:r>
      <w:r>
        <w:rPr>
          <w:rFonts w:ascii="新宋体" w:hAnsi="新宋体" w:eastAsia="新宋体" w:cs="新宋体"/>
        </w:rPr>
        <w:t>85%</w:t>
      </w:r>
      <w:r>
        <w:rPr>
          <w:rFonts w:hint="eastAsia" w:ascii="新宋体" w:hAnsi="新宋体" w:eastAsia="新宋体" w:cs="新宋体"/>
        </w:rPr>
        <w:t>。</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803" w:firstLineChars="250"/>
        <w:jc w:val="both"/>
        <w:rPr>
          <w:rFonts w:ascii="Times New Roman" w:cs="Times New Roman"/>
          <w:b/>
          <w:bCs/>
          <w:color w:val="000000"/>
        </w:rPr>
      </w:pPr>
      <w:r>
        <w:rPr>
          <w:rFonts w:hint="eastAsia" w:ascii="新宋体" w:hAnsi="新宋体" w:eastAsia="新宋体" w:cs="新宋体"/>
          <w:b/>
          <w:bCs/>
          <w:color w:val="000000"/>
        </w:rPr>
        <w:t>4、全面加强行政效能建设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Times New Roman" w:cs="Times New Roman"/>
          <w:sz w:val="32"/>
          <w:szCs w:val="32"/>
        </w:rPr>
      </w:pPr>
      <w:r>
        <w:rPr>
          <w:rFonts w:hint="eastAsia" w:ascii="新宋体" w:hAnsi="新宋体" w:eastAsia="新宋体" w:cs="新宋体"/>
          <w:sz w:val="32"/>
          <w:szCs w:val="32"/>
        </w:rPr>
        <w:t>绩效目标：突出抓好不动产统一登记效能提升，优化管理流程，注重引入科学先进的管理体系，完善不动产登记信息管理基础平台建设，拓展服务功能和应用系统；积极探索预告登记、林权登记，力争</w:t>
      </w:r>
      <w:r>
        <w:rPr>
          <w:rFonts w:ascii="新宋体" w:hAnsi="新宋体" w:eastAsia="新宋体" w:cs="新宋体"/>
          <w:sz w:val="32"/>
          <w:szCs w:val="32"/>
        </w:rPr>
        <w:t>2020</w:t>
      </w:r>
      <w:r>
        <w:rPr>
          <w:rFonts w:hint="eastAsia" w:ascii="新宋体" w:hAnsi="新宋体" w:eastAsia="新宋体" w:cs="新宋体"/>
          <w:sz w:val="32"/>
          <w:szCs w:val="32"/>
        </w:rPr>
        <w:t>年按照有关程序和相关法律法规，完成森林、林木和林地确权登记，发放证书；妥善解决历史遗留问题，对河畔新城小区、二矿馨苑北区和建行家属楼及时研究对策，解决群众诉求；做好第三次全国国土调查和房地一体调查，按照上级要求，及时开展各项专项调查工作，按时间节点按质按量完成数据上报更新工作。</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both"/>
        <w:rPr>
          <w:rFonts w:ascii="Times New Roman" w:cs="Times New Roman"/>
        </w:rPr>
      </w:pPr>
      <w:r>
        <w:rPr>
          <w:rFonts w:hint="eastAsia" w:ascii="新宋体" w:hAnsi="新宋体" w:eastAsia="新宋体" w:cs="新宋体"/>
        </w:rPr>
        <w:t>绩效指标：档案查询时间节省率</w:t>
      </w:r>
      <w:r>
        <w:rPr>
          <w:rFonts w:ascii="新宋体" w:hAnsi="新宋体" w:eastAsia="新宋体" w:cs="新宋体"/>
        </w:rPr>
        <w:t>50%</w:t>
      </w:r>
      <w:r>
        <w:rPr>
          <w:rFonts w:hint="eastAsia" w:ascii="新宋体" w:hAnsi="新宋体" w:eastAsia="新宋体" w:cs="新宋体"/>
        </w:rPr>
        <w:t>；数据上报及时率</w:t>
      </w:r>
      <w:r>
        <w:rPr>
          <w:rFonts w:ascii="新宋体" w:hAnsi="新宋体" w:eastAsia="新宋体" w:cs="新宋体"/>
        </w:rPr>
        <w:t>100%</w:t>
      </w:r>
      <w:r>
        <w:rPr>
          <w:rFonts w:hint="eastAsia" w:ascii="新宋体" w:hAnsi="新宋体" w:eastAsia="新宋体" w:cs="新宋体"/>
        </w:rPr>
        <w:t>，数据准确率</w:t>
      </w:r>
      <w:r>
        <w:rPr>
          <w:rFonts w:ascii="新宋体" w:hAnsi="新宋体" w:eastAsia="新宋体" w:cs="新宋体"/>
        </w:rPr>
        <w:t>100%</w:t>
      </w:r>
      <w:r>
        <w:rPr>
          <w:rFonts w:hint="eastAsia" w:ascii="新宋体" w:hAnsi="新宋体" w:eastAsia="新宋体" w:cs="新宋体"/>
        </w:rPr>
        <w:t>；群众满意度</w:t>
      </w:r>
      <w:r>
        <w:rPr>
          <w:rFonts w:ascii="新宋体" w:hAnsi="新宋体" w:eastAsia="新宋体" w:cs="新宋体"/>
        </w:rPr>
        <w:t>90%</w:t>
      </w:r>
      <w:r>
        <w:rPr>
          <w:rFonts w:hint="eastAsia" w:ascii="新宋体" w:hAnsi="新宋体" w:eastAsia="新宋体" w:cs="新宋体"/>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rPr>
          <w:rFonts w:ascii="Times New Roman" w:cs="Times New Roman"/>
          <w:b/>
          <w:bCs/>
          <w:sz w:val="32"/>
          <w:szCs w:val="32"/>
        </w:rPr>
      </w:pPr>
      <w:r>
        <w:rPr>
          <w:rFonts w:hint="eastAsia" w:ascii="新宋体" w:hAnsi="新宋体" w:eastAsia="新宋体" w:cs="新宋体"/>
          <w:b/>
          <w:bCs/>
          <w:sz w:val="32"/>
          <w:szCs w:val="32"/>
        </w:rPr>
        <w:t>5、查处割裂自然资源违法违规行为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Times New Roman" w:cs="Times New Roman"/>
          <w:sz w:val="32"/>
          <w:szCs w:val="32"/>
        </w:rPr>
      </w:pPr>
      <w:r>
        <w:rPr>
          <w:rFonts w:hint="eastAsia" w:ascii="新宋体" w:hAnsi="新宋体" w:eastAsia="新宋体" w:cs="新宋体"/>
          <w:sz w:val="32"/>
          <w:szCs w:val="32"/>
        </w:rPr>
        <w:t>绩效目标：加快卫片整改工作，开展联合执法，采取拆除或补办等措施，分类整改，最大限度提高整改到位率、降低违法比例；</w:t>
      </w:r>
      <w:r>
        <w:rPr>
          <w:rFonts w:hint="eastAsia" w:ascii="新宋体" w:hAnsi="新宋体" w:eastAsia="新宋体" w:cs="新宋体"/>
          <w:color w:val="000000"/>
          <w:sz w:val="32"/>
          <w:szCs w:val="32"/>
        </w:rPr>
        <w:t>进一步加大例行督察整改力度，</w:t>
      </w:r>
      <w:r>
        <w:rPr>
          <w:rFonts w:hint="eastAsia" w:ascii="新宋体" w:hAnsi="新宋体" w:eastAsia="新宋体" w:cs="新宋体"/>
          <w:sz w:val="32"/>
          <w:szCs w:val="32"/>
        </w:rPr>
        <w:t>将</w:t>
      </w:r>
      <w:r>
        <w:rPr>
          <w:rFonts w:ascii="新宋体" w:hAnsi="新宋体" w:eastAsia="新宋体" w:cs="新宋体"/>
          <w:sz w:val="32"/>
          <w:szCs w:val="32"/>
        </w:rPr>
        <w:t>2016</w:t>
      </w:r>
      <w:r>
        <w:rPr>
          <w:rFonts w:hint="eastAsia" w:ascii="新宋体" w:hAnsi="新宋体" w:eastAsia="新宋体" w:cs="新宋体"/>
          <w:sz w:val="32"/>
          <w:szCs w:val="32"/>
        </w:rPr>
        <w:t>年</w:t>
      </w:r>
      <w:r>
        <w:rPr>
          <w:rFonts w:ascii="新宋体" w:hAnsi="新宋体" w:eastAsia="新宋体" w:cs="新宋体"/>
          <w:sz w:val="32"/>
          <w:szCs w:val="32"/>
        </w:rPr>
        <w:t>-2018</w:t>
      </w:r>
      <w:r>
        <w:rPr>
          <w:rFonts w:hint="eastAsia" w:ascii="新宋体" w:hAnsi="新宋体" w:eastAsia="新宋体" w:cs="新宋体"/>
          <w:sz w:val="32"/>
          <w:szCs w:val="32"/>
        </w:rPr>
        <w:t>年督察和</w:t>
      </w:r>
      <w:r>
        <w:rPr>
          <w:rFonts w:ascii="新宋体" w:hAnsi="新宋体" w:eastAsia="新宋体" w:cs="新宋体"/>
          <w:sz w:val="32"/>
          <w:szCs w:val="32"/>
        </w:rPr>
        <w:t>2019</w:t>
      </w:r>
      <w:r>
        <w:rPr>
          <w:rFonts w:hint="eastAsia" w:ascii="新宋体" w:hAnsi="新宋体" w:eastAsia="新宋体" w:cs="新宋体"/>
          <w:sz w:val="32"/>
          <w:szCs w:val="32"/>
        </w:rPr>
        <w:t>年专项督查发现未整改到位问题图斑全部纳入三年违法用地专项行动，严格按照督察局举证标准，确保拆除的每一宗地都能通过验收；对巡查、航飞发现的各类违法违规行为，根据相关规定，及时制止、及时报告、及时查处，配合好乡镇政府做好查处整改工作，确保将各类违法违规行为消灭在萌芽状态。</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both"/>
        <w:rPr>
          <w:rFonts w:ascii="Times New Roman" w:cs="Times New Roman"/>
          <w:b/>
          <w:bCs/>
        </w:rPr>
      </w:pPr>
      <w:r>
        <w:rPr>
          <w:rFonts w:hint="eastAsia" w:ascii="新宋体" w:hAnsi="新宋体" w:eastAsia="新宋体" w:cs="新宋体"/>
          <w:color w:val="000000"/>
        </w:rPr>
        <w:t>绩效指标：完成航摄成图并提取新增建设用地图斑次数</w:t>
      </w:r>
      <w:r>
        <w:rPr>
          <w:rFonts w:ascii="新宋体" w:hAnsi="新宋体" w:eastAsia="新宋体" w:cs="新宋体"/>
          <w:color w:val="000000"/>
        </w:rPr>
        <w:t>3</w:t>
      </w:r>
      <w:r>
        <w:rPr>
          <w:rFonts w:hint="eastAsia" w:ascii="新宋体" w:hAnsi="新宋体" w:eastAsia="新宋体" w:cs="新宋体"/>
          <w:color w:val="000000"/>
        </w:rPr>
        <w:t>次；图斑有效利用率</w:t>
      </w:r>
      <w:r>
        <w:rPr>
          <w:rFonts w:ascii="新宋体" w:hAnsi="新宋体" w:eastAsia="新宋体" w:cs="新宋体"/>
          <w:color w:val="000000"/>
        </w:rPr>
        <w:t>95%</w:t>
      </w:r>
      <w:r>
        <w:rPr>
          <w:rFonts w:hint="eastAsia" w:ascii="新宋体" w:hAnsi="新宋体" w:eastAsia="新宋体" w:cs="新宋体"/>
          <w:color w:val="000000"/>
        </w:rPr>
        <w:t>；</w:t>
      </w:r>
      <w:r>
        <w:rPr>
          <w:rFonts w:hint="eastAsia" w:ascii="新宋体" w:hAnsi="新宋体" w:eastAsia="新宋体" w:cs="新宋体"/>
        </w:rPr>
        <w:t>问题斑图整改到位率</w:t>
      </w:r>
      <w:r>
        <w:rPr>
          <w:rFonts w:ascii="新宋体" w:hAnsi="新宋体" w:eastAsia="新宋体" w:cs="新宋体"/>
        </w:rPr>
        <w:t>85%</w:t>
      </w:r>
      <w:r>
        <w:rPr>
          <w:rFonts w:hint="eastAsia" w:ascii="新宋体" w:hAnsi="新宋体" w:eastAsia="新宋体" w:cs="新宋体"/>
        </w:rPr>
        <w:t>；</w:t>
      </w:r>
      <w:r>
        <w:rPr>
          <w:rFonts w:hint="eastAsia" w:ascii="新宋体" w:hAnsi="新宋体" w:eastAsia="新宋体" w:cs="新宋体"/>
          <w:color w:val="000000"/>
        </w:rPr>
        <w:t>新增违法建设用地减少率</w:t>
      </w:r>
      <w:r>
        <w:rPr>
          <w:rFonts w:ascii="新宋体" w:hAnsi="新宋体" w:eastAsia="新宋体" w:cs="新宋体"/>
          <w:color w:val="000000"/>
        </w:rPr>
        <w:t>10%</w:t>
      </w:r>
      <w:r>
        <w:rPr>
          <w:rFonts w:hint="eastAsia" w:ascii="新宋体" w:hAnsi="新宋体" w:eastAsia="新宋体" w:cs="新宋体"/>
          <w:color w:val="000000"/>
        </w:rPr>
        <w:t>。</w:t>
      </w:r>
    </w:p>
    <w:p>
      <w:pPr>
        <w:pStyle w:val="19"/>
        <w:widowControl/>
        <w:rPr>
          <w:rFonts w:ascii="Times New Roman" w:eastAsia="微软雅黑" w:cs="Times New Roman"/>
          <w:b/>
          <w:bCs/>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宋体" w:hAnsi="宋体" w:eastAsia="宋体" w:cs="宋体"/>
          <w:b/>
          <w:bCs/>
          <w:kern w:val="0"/>
          <w:sz w:val="32"/>
          <w:szCs w:val="32"/>
        </w:rPr>
      </w:pPr>
      <w:r>
        <w:rPr>
          <w:rFonts w:hint="eastAsia" w:ascii="宋体" w:hAnsi="宋体" w:eastAsia="宋体" w:cs="宋体"/>
          <w:b/>
          <w:bCs/>
          <w:kern w:val="0"/>
          <w:sz w:val="32"/>
          <w:szCs w:val="32"/>
        </w:rPr>
        <w:t>1、完善制度建设。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ind w:firstLine="630" w:firstLineChars="196"/>
        <w:rPr>
          <w:rFonts w:ascii="Times New Roman" w:hAnsi="Times New Roman" w:eastAsia="宋体" w:cs="Times New Roman"/>
          <w:b/>
          <w:bCs/>
          <w:kern w:val="0"/>
          <w:sz w:val="32"/>
          <w:szCs w:val="32"/>
        </w:rPr>
      </w:pPr>
      <w:r>
        <w:rPr>
          <w:rFonts w:hint="eastAsia" w:ascii="宋体" w:hAnsi="宋体" w:eastAsia="宋体" w:cs="宋体"/>
          <w:b/>
          <w:bCs/>
          <w:kern w:val="0"/>
          <w:sz w:val="32"/>
          <w:szCs w:val="32"/>
        </w:rPr>
        <w:t>成立预算绩效管理工作领导小组，并制定了《霸州市自然资源和规划局预算绩效管理办法》，管理办法中规定业务股室负责对所属单位报送的绩效目标进行审核，财务股室负责对业务股室报送的绩效目标进行审核。绩效目标不符合要求的，应要求报送的业务股室及所属单位及时修改、完善。财务股室审核汇总后，将绩效目标按程序报送市财政局，其中，本部门整体绩效目标则应连同部门预算建议计划经部门党组（党委）研究后报送市财政局。财务股室负责预算执行进度监控工作，业务股室负责绩效目标实现程度监控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xml:space="preserve"> </w:t>
      </w:r>
      <w:r>
        <w:rPr>
          <w:rFonts w:hint="eastAsia" w:ascii="宋体" w:hAnsi="宋体" w:eastAsia="宋体" w:cs="宋体"/>
          <w:b/>
          <w:bCs/>
          <w:kern w:val="0"/>
          <w:sz w:val="32"/>
          <w:szCs w:val="32"/>
        </w:rPr>
        <w:t>财务股室在预算执行全阶段，要严格执行支出承诺制度，依据年初资金支出计划，对本部门政策和项目预算执行进度开展月度监控，指导、督促所属单位开展预算执行进度监控，并将监控结果报送市财政局，确保财政资金按计划支出，提高资金使用效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xml:space="preserve">    </w:t>
      </w:r>
      <w:r>
        <w:rPr>
          <w:rFonts w:hint="eastAsia" w:ascii="宋体" w:hAnsi="宋体" w:eastAsia="宋体" w:cs="宋体"/>
          <w:b/>
          <w:bCs/>
          <w:kern w:val="0"/>
          <w:sz w:val="32"/>
          <w:szCs w:val="32"/>
        </w:rPr>
        <w:t>业务股室在预算执行全阶段，针对绩效目标实现程度开展季度监控，及时发现运行中的偏差情况，并采取有效的措施予以纠偏，指导、督促所属单位开展绩效目标实现程度监控，并将监控结果汇总后报送财务股室，财务股室审核汇总后报送市财政局，确保绩效目标如期保质保量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ascii="宋体" w:hAnsi="Calibri" w:eastAsia="宋体" w:cs="宋体"/>
          <w:b/>
          <w:bCs/>
          <w:kern w:val="0"/>
          <w:sz w:val="32"/>
          <w:szCs w:val="32"/>
        </w:rPr>
        <w:t xml:space="preserve">   </w:t>
      </w:r>
      <w:r>
        <w:rPr>
          <w:rFonts w:hint="eastAsia" w:ascii="宋体" w:hAnsi="Calibri" w:eastAsia="宋体" w:cs="宋体"/>
          <w:b/>
          <w:bCs/>
          <w:kern w:val="0"/>
          <w:sz w:val="32"/>
          <w:szCs w:val="32"/>
        </w:rPr>
        <w:t xml:space="preserve"> </w:t>
      </w:r>
      <w:r>
        <w:rPr>
          <w:rFonts w:hint="eastAsia" w:ascii="宋体" w:hAnsi="宋体" w:eastAsia="宋体" w:cs="宋体"/>
          <w:b/>
          <w:bCs/>
          <w:kern w:val="0"/>
          <w:sz w:val="32"/>
          <w:szCs w:val="32"/>
        </w:rPr>
        <w:t>年度绩效运行监控工作结束后，业务股室负责撰写本科室负责的《政策（项目）绩效运行监控报告》，办公室负责撰写《部门整体绩效运行监控报告》，财务股室审核汇总后，报送市财政局。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hint="eastAsia" w:ascii="宋体" w:hAnsi="宋体" w:eastAsia="宋体" w:cs="宋体"/>
          <w:b/>
          <w:bCs/>
          <w:kern w:val="0"/>
          <w:sz w:val="32"/>
          <w:szCs w:val="32"/>
        </w:rPr>
        <w:t>2、加强支出管理。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xml:space="preserve">    </w:t>
      </w:r>
      <w:r>
        <w:rPr>
          <w:rFonts w:hint="eastAsia" w:ascii="宋体" w:hAnsi="宋体" w:eastAsia="宋体" w:cs="宋体"/>
          <w:b/>
          <w:bCs/>
          <w:kern w:val="0"/>
          <w:sz w:val="32"/>
          <w:szCs w:val="32"/>
        </w:rPr>
        <w:t>为贯彻中央关于“凡属重大决策，重要干部任免，重大项目安排和大额度资金的使用必须由领导班子集体作出决定”的要求，进一步规范我局的领导班子决策行为，现规定超过</w:t>
      </w:r>
      <w:r>
        <w:rPr>
          <w:rFonts w:ascii="Times New Roman" w:hAnsi="Times New Roman" w:eastAsia="宋体" w:cs="Times New Roman"/>
          <w:b/>
          <w:bCs/>
          <w:kern w:val="0"/>
          <w:sz w:val="32"/>
          <w:szCs w:val="32"/>
        </w:rPr>
        <w:t>2</w:t>
      </w:r>
      <w:r>
        <w:rPr>
          <w:rFonts w:hint="eastAsia" w:ascii="宋体" w:hAnsi="宋体" w:eastAsia="宋体" w:cs="宋体"/>
          <w:b/>
          <w:bCs/>
          <w:kern w:val="0"/>
          <w:sz w:val="32"/>
          <w:szCs w:val="32"/>
        </w:rPr>
        <w:t>万元的支出，均为大额资金支出。本年度预算内的一切支出，包括项目支出和日常公用支出凡超过</w:t>
      </w:r>
      <w:r>
        <w:rPr>
          <w:rFonts w:ascii="Times New Roman" w:hAnsi="Times New Roman" w:eastAsia="宋体" w:cs="Times New Roman"/>
          <w:b/>
          <w:bCs/>
          <w:kern w:val="0"/>
          <w:sz w:val="32"/>
          <w:szCs w:val="32"/>
        </w:rPr>
        <w:t>2</w:t>
      </w:r>
      <w:r>
        <w:rPr>
          <w:rFonts w:hint="eastAsia" w:ascii="宋体" w:hAnsi="宋体" w:eastAsia="宋体" w:cs="宋体"/>
          <w:b/>
          <w:bCs/>
          <w:kern w:val="0"/>
          <w:sz w:val="32"/>
          <w:szCs w:val="32"/>
        </w:rPr>
        <w:t>万元的均需按照“三重一大”制度要求，经过单位领导班子集体决策后方可支出（工资、保险、水电费、油费等日常支出除外）。</w:t>
      </w:r>
      <w:r>
        <w:rPr>
          <w:rFonts w:ascii="Times New Roman" w:hAnsi="Times New Roman" w:eastAsia="宋体" w:cs="Times New Roman"/>
          <w:b/>
          <w:bCs/>
          <w:kern w:val="0"/>
          <w:sz w:val="32"/>
          <w:szCs w:val="3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ind w:firstLine="630"/>
        <w:rPr>
          <w:rFonts w:ascii="Times New Roman" w:hAnsi="Times New Roman" w:eastAsia="宋体" w:cs="Times New Roman"/>
          <w:b/>
          <w:bCs/>
          <w:kern w:val="0"/>
          <w:sz w:val="32"/>
          <w:szCs w:val="32"/>
        </w:rPr>
      </w:pPr>
      <w:r>
        <w:rPr>
          <w:rFonts w:hint="eastAsia" w:ascii="宋体" w:hAnsi="宋体" w:eastAsia="宋体" w:cs="宋体"/>
          <w:b/>
          <w:bCs/>
          <w:kern w:val="0"/>
          <w:sz w:val="32"/>
          <w:szCs w:val="32"/>
        </w:rPr>
        <w:t>项目拨款由业务科长、业务主管局长签字后，报送财务与资金运用股审核，由财务科长、财务主管局长、单位负责人签字后，方可列支。“三重一大”事项决策的情况，包括决策参与人、决策事项、决策过程、决策结论等，要以会议通知、议程、记录、纪要、决定、备忘录等形式留下文字性资料，并存档备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hint="eastAsia" w:ascii="宋体" w:hAnsi="宋体" w:eastAsia="宋体" w:cs="宋体"/>
          <w:b/>
          <w:bCs/>
          <w:kern w:val="0"/>
          <w:sz w:val="32"/>
          <w:szCs w:val="32"/>
        </w:rPr>
        <w:t>3、加强绩效运行监控。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xml:space="preserve">    </w:t>
      </w:r>
      <w:r>
        <w:rPr>
          <w:rFonts w:hint="eastAsia" w:ascii="宋体" w:hAnsi="宋体" w:eastAsia="宋体" w:cs="宋体"/>
          <w:b/>
          <w:bCs/>
          <w:kern w:val="0"/>
          <w:sz w:val="32"/>
          <w:szCs w:val="32"/>
        </w:rPr>
        <w:t>财务与资金运用股负责预算执行进度监控工作，业务股室负责绩效目标实现程度监控工作。</w:t>
      </w:r>
      <w:r>
        <w:rPr>
          <w:rFonts w:ascii="Times New Roman" w:hAnsi="Times New Roman" w:eastAsia="宋体" w:cs="Times New Roman"/>
          <w:b/>
          <w:bCs/>
          <w:kern w:val="0"/>
          <w:sz w:val="32"/>
          <w:szCs w:val="32"/>
        </w:rPr>
        <w:t xml:space="preserve"> </w:t>
      </w:r>
      <w:r>
        <w:rPr>
          <w:rFonts w:hint="eastAsia" w:ascii="宋体" w:hAnsi="宋体" w:eastAsia="宋体" w:cs="宋体"/>
          <w:b/>
          <w:bCs/>
          <w:kern w:val="0"/>
          <w:sz w:val="32"/>
          <w:szCs w:val="32"/>
        </w:rPr>
        <w:t>财务与资金运用股在预算执行全阶段，要严格执行支出承诺制度，依据年初资金支出计划，对本部门政策和项目预算执行进度开展月度监控，指导、督促所属单位开展预算执行进度监控，并将监控结果报送市财政局，确保财政资金按计划支出，提高资金使用效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ascii="宋体" w:hAnsi="Calibri" w:eastAsia="宋体" w:cs="宋体"/>
          <w:b/>
          <w:bCs/>
          <w:kern w:val="0"/>
          <w:sz w:val="32"/>
          <w:szCs w:val="32"/>
        </w:rPr>
        <w:t xml:space="preserve">    </w:t>
      </w:r>
      <w:r>
        <w:rPr>
          <w:rFonts w:hint="eastAsia" w:ascii="宋体" w:hAnsi="宋体" w:eastAsia="宋体" w:cs="宋体"/>
          <w:b/>
          <w:bCs/>
          <w:kern w:val="0"/>
          <w:sz w:val="32"/>
          <w:szCs w:val="32"/>
        </w:rPr>
        <w:t>业务股室在预算执行全阶段，针对绩效目标实现程度开展季度监控，及时发现运行中的偏差情况，并采取有效的措施予以纠偏，指导、督促所属单位开展绩效目标实现程度监控，并将监控结果汇总后报送财务与资金运用股，财务与资金运用股审核汇总后报送市财政局，确保绩效目标如期保质保量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hint="eastAsia" w:ascii="宋体" w:hAnsi="宋体" w:eastAsia="宋体" w:cs="宋体"/>
          <w:b/>
          <w:bCs/>
          <w:kern w:val="0"/>
          <w:sz w:val="32"/>
          <w:szCs w:val="32"/>
        </w:rPr>
        <w:t>年度绩效运行监控工作结束后，业务股室负责撰写本科室负责的《政策</w:t>
      </w:r>
      <w:r>
        <w:rPr>
          <w:rFonts w:ascii="Times New Roman" w:hAnsi="Times New Roman" w:eastAsia="宋体" w:cs="Times New Roman"/>
          <w:b/>
          <w:bCs/>
          <w:kern w:val="0"/>
          <w:sz w:val="32"/>
          <w:szCs w:val="32"/>
        </w:rPr>
        <w:t>(</w:t>
      </w:r>
      <w:r>
        <w:rPr>
          <w:rFonts w:hint="eastAsia" w:ascii="宋体" w:hAnsi="宋体" w:eastAsia="宋体" w:cs="宋体"/>
          <w:b/>
          <w:bCs/>
          <w:kern w:val="0"/>
          <w:sz w:val="32"/>
          <w:szCs w:val="32"/>
        </w:rPr>
        <w:t>项目</w:t>
      </w:r>
      <w:r>
        <w:rPr>
          <w:rFonts w:ascii="Times New Roman" w:hAnsi="Times New Roman" w:eastAsia="宋体" w:cs="Times New Roman"/>
          <w:b/>
          <w:bCs/>
          <w:kern w:val="0"/>
          <w:sz w:val="32"/>
          <w:szCs w:val="32"/>
        </w:rPr>
        <w:t>)</w:t>
      </w:r>
      <w:r>
        <w:rPr>
          <w:rFonts w:hint="eastAsia" w:ascii="宋体" w:hAnsi="宋体" w:eastAsia="宋体" w:cs="宋体"/>
          <w:b/>
          <w:bCs/>
          <w:kern w:val="0"/>
          <w:sz w:val="32"/>
          <w:szCs w:val="32"/>
        </w:rPr>
        <w:t>绩效运行监控报告》，财务与资金运用股负责撰写《部门整体绩效运行监控报告》，财务与资金运用股审核汇总后，报送市财政局。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hint="eastAsia" w:ascii="宋体" w:hAnsi="宋体" w:eastAsia="宋体" w:cs="宋体"/>
          <w:b/>
          <w:bCs/>
          <w:kern w:val="0"/>
          <w:sz w:val="32"/>
          <w:szCs w:val="32"/>
        </w:rPr>
        <w:t>4、做好绩效自评。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xml:space="preserve">    </w:t>
      </w:r>
      <w:r>
        <w:rPr>
          <w:rFonts w:hint="eastAsia" w:ascii="宋体" w:hAnsi="宋体" w:eastAsia="宋体" w:cs="宋体"/>
          <w:b/>
          <w:bCs/>
          <w:kern w:val="0"/>
          <w:sz w:val="32"/>
          <w:szCs w:val="32"/>
        </w:rPr>
        <w:t>按要求开展上年度部门预算绩效自评和重点评价工作，对评价中发现的问题及时整改，调整优化支出结构，提高财政资金使用效益。认真对待，积极组织人员开展自评工作，要准确全面地完成填报工作，对绩效自评中发现的问题及时进行整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hint="eastAsia" w:ascii="宋体" w:hAnsi="宋体" w:eastAsia="宋体" w:cs="宋体"/>
          <w:b/>
          <w:bCs/>
          <w:kern w:val="0"/>
          <w:sz w:val="32"/>
          <w:szCs w:val="32"/>
        </w:rPr>
        <w:t>5、规范财务资产管理。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xml:space="preserve">    </w:t>
      </w:r>
      <w:r>
        <w:rPr>
          <w:rFonts w:hint="eastAsia" w:ascii="宋体" w:hAnsi="宋体" w:eastAsia="宋体" w:cs="宋体"/>
          <w:b/>
          <w:bCs/>
          <w:kern w:val="0"/>
          <w:sz w:val="32"/>
          <w:szCs w:val="32"/>
        </w:rPr>
        <w:t>加强资产配置管理，充分利用资产管理系统全面掌握部门资产现状，提高资产配置效率，避免浪费。加强资产采购管理，强化政府采购的预算刚性</w:t>
      </w:r>
      <w:r>
        <w:rPr>
          <w:rFonts w:ascii="Times New Roman" w:hAnsi="Times New Roman" w:eastAsia="宋体" w:cs="Times New Roman"/>
          <w:b/>
          <w:bCs/>
          <w:kern w:val="0"/>
          <w:sz w:val="32"/>
          <w:szCs w:val="32"/>
        </w:rPr>
        <w:t xml:space="preserve"> </w:t>
      </w:r>
      <w:r>
        <w:rPr>
          <w:rFonts w:hint="eastAsia" w:ascii="宋体" w:hAnsi="宋体" w:eastAsia="宋体" w:cs="宋体"/>
          <w:b/>
          <w:bCs/>
          <w:kern w:val="0"/>
          <w:sz w:val="32"/>
          <w:szCs w:val="32"/>
        </w:rPr>
        <w:t>，对预算、采购、履约实行岗位分离，控制廉政风险，规范权力运行。加强资产实物管理，做好固定资产登记，做到去向明确，物尽其用，安全保管，严格履行规定的处置程序。</w:t>
      </w:r>
      <w:r>
        <w:rPr>
          <w:rFonts w:ascii="Times New Roman" w:hAnsi="Times New Roman" w:eastAsia="宋体" w:cs="Times New Roman"/>
          <w:b/>
          <w:bCs/>
          <w:kern w:val="0"/>
          <w:sz w:val="32"/>
          <w:szCs w:val="32"/>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hint="eastAsia" w:ascii="宋体" w:hAnsi="宋体" w:eastAsia="宋体" w:cs="宋体"/>
          <w:b/>
          <w:bCs/>
          <w:kern w:val="0"/>
          <w:sz w:val="32"/>
          <w:szCs w:val="32"/>
        </w:rPr>
        <w:t>6、加强内部监督。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xml:space="preserve">    </w:t>
      </w:r>
      <w:r>
        <w:rPr>
          <w:rFonts w:hint="eastAsia" w:ascii="宋体" w:hAnsi="宋体" w:eastAsia="宋体" w:cs="宋体"/>
          <w:b/>
          <w:bCs/>
          <w:kern w:val="0"/>
          <w:sz w:val="32"/>
          <w:szCs w:val="32"/>
        </w:rPr>
        <w:t>加强内部监督制度建设，更新调整本单位《内部控制制度》，对绩效运行情况、重大支出决策、对外投资、资产处置及其他重要经济业务事项的决策和执行进行督导，对会计资料进行内部审计，并配合做好审计、财政监督等外部监督工作，确保财政资金安全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hint="eastAsia" w:ascii="宋体" w:hAnsi="宋体" w:eastAsia="宋体" w:cs="宋体"/>
          <w:b/>
          <w:bCs/>
          <w:kern w:val="0"/>
          <w:sz w:val="32"/>
          <w:szCs w:val="32"/>
        </w:rPr>
        <w:t>7、加强宣传培训调研等。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700" w:lineRule="exact"/>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xml:space="preserve">   </w:t>
      </w:r>
      <w:r>
        <w:rPr>
          <w:rFonts w:hint="eastAsia" w:ascii="Times New Roman" w:hAnsi="Times New Roman" w:eastAsia="宋体" w:cs="Times New Roman"/>
          <w:b/>
          <w:bCs/>
          <w:kern w:val="0"/>
          <w:sz w:val="32"/>
          <w:szCs w:val="32"/>
        </w:rPr>
        <w:t xml:space="preserve"> </w:t>
      </w:r>
      <w:r>
        <w:rPr>
          <w:rFonts w:hint="eastAsia" w:ascii="宋体" w:hAnsi="宋体" w:eastAsia="宋体" w:cs="宋体"/>
          <w:b/>
          <w:bCs/>
          <w:kern w:val="0"/>
          <w:sz w:val="32"/>
          <w:szCs w:val="32"/>
        </w:rPr>
        <w:t>开展预算绩效管理培训，加强人员培训，提高本部门职工业务素质；加强调研，提出优化财政资金配置、提高资金使用效益的意见意见；加大宣传力度，强化预算绩效管理意识，促进预算绩效管理水平进一步提升。</w:t>
      </w:r>
    </w:p>
    <w:p>
      <w:pPr>
        <w:numPr>
          <w:ilvl w:val="0"/>
          <w:numId w:val="1"/>
        </w:numPr>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部门整体支出绩效指标</w:t>
      </w: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tcBorders>
              <w:tl2br w:val="nil"/>
              <w:tr2bl w:val="nil"/>
            </w:tcBorders>
            <w:vAlign w:val="center"/>
          </w:tcPr>
          <w:p>
            <w:pPr>
              <w:rPr>
                <w:sz w:val="18"/>
                <w:szCs w:val="18"/>
              </w:rPr>
            </w:pPr>
            <w:r>
              <w:rPr>
                <w:rFonts w:hint="eastAsia"/>
                <w:sz w:val="18"/>
                <w:szCs w:val="18"/>
              </w:rPr>
              <w:t>保障职工人数</w:t>
            </w:r>
          </w:p>
        </w:tc>
        <w:tc>
          <w:tcPr>
            <w:tcW w:w="2172" w:type="dxa"/>
            <w:tcBorders>
              <w:tl2br w:val="nil"/>
              <w:tr2bl w:val="nil"/>
            </w:tcBorders>
          </w:tcPr>
          <w:p>
            <w:pPr>
              <w:rPr>
                <w:sz w:val="18"/>
                <w:szCs w:val="18"/>
              </w:rPr>
            </w:pPr>
            <w:r>
              <w:rPr>
                <w:rFonts w:hint="eastAsia"/>
                <w:sz w:val="18"/>
                <w:szCs w:val="18"/>
              </w:rPr>
              <w:t>7</w:t>
            </w:r>
          </w:p>
        </w:tc>
        <w:tc>
          <w:tcPr>
            <w:tcW w:w="1483" w:type="dxa"/>
            <w:tcBorders>
              <w:tl2br w:val="nil"/>
              <w:tr2bl w:val="nil"/>
            </w:tcBorders>
            <w:vAlign w:val="center"/>
          </w:tcPr>
          <w:p>
            <w:pPr>
              <w:rPr>
                <w:sz w:val="18"/>
                <w:szCs w:val="18"/>
              </w:rPr>
            </w:pPr>
            <w:r>
              <w:rPr>
                <w:rFonts w:hint="eastAsia"/>
                <w:sz w:val="18"/>
                <w:szCs w:val="18"/>
              </w:rPr>
              <w:t>保障我局职工420人正常办公</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420.00</w:t>
            </w:r>
          </w:p>
        </w:tc>
        <w:tc>
          <w:tcPr>
            <w:tcW w:w="573" w:type="dxa"/>
            <w:tcBorders>
              <w:tl2br w:val="nil"/>
              <w:tr2bl w:val="nil"/>
            </w:tcBorders>
            <w:vAlign w:val="center"/>
          </w:tcPr>
          <w:p>
            <w:pPr>
              <w:rPr>
                <w:sz w:val="18"/>
                <w:szCs w:val="18"/>
              </w:rPr>
            </w:pPr>
            <w:r>
              <w:rPr>
                <w:rFonts w:hint="eastAsia"/>
                <w:sz w:val="18"/>
                <w:szCs w:val="18"/>
              </w:rPr>
              <w:t>人</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tcBorders>
              <w:tl2br w:val="nil"/>
              <w:tr2bl w:val="nil"/>
            </w:tcBorders>
            <w:vAlign w:val="center"/>
          </w:tcPr>
          <w:p>
            <w:pPr>
              <w:rPr>
                <w:sz w:val="18"/>
                <w:szCs w:val="18"/>
              </w:rPr>
            </w:pPr>
            <w:r>
              <w:rPr>
                <w:rFonts w:hint="eastAsia"/>
                <w:sz w:val="18"/>
                <w:szCs w:val="18"/>
              </w:rPr>
              <w:t>全年国土调查规划面积</w:t>
            </w:r>
          </w:p>
        </w:tc>
        <w:tc>
          <w:tcPr>
            <w:tcW w:w="2172" w:type="dxa"/>
            <w:tcBorders>
              <w:tl2br w:val="nil"/>
              <w:tr2bl w:val="nil"/>
            </w:tcBorders>
          </w:tcPr>
          <w:p>
            <w:pPr>
              <w:rPr>
                <w:sz w:val="18"/>
                <w:szCs w:val="18"/>
              </w:rPr>
            </w:pPr>
            <w:r>
              <w:rPr>
                <w:rFonts w:hint="eastAsia"/>
                <w:sz w:val="18"/>
                <w:szCs w:val="18"/>
              </w:rPr>
              <w:t>7</w:t>
            </w:r>
          </w:p>
        </w:tc>
        <w:tc>
          <w:tcPr>
            <w:tcW w:w="1483" w:type="dxa"/>
            <w:tcBorders>
              <w:tl2br w:val="nil"/>
              <w:tr2bl w:val="nil"/>
            </w:tcBorders>
            <w:vAlign w:val="center"/>
          </w:tcPr>
          <w:p>
            <w:pPr>
              <w:rPr>
                <w:sz w:val="18"/>
                <w:szCs w:val="18"/>
              </w:rPr>
            </w:pPr>
            <w:r>
              <w:rPr>
                <w:rFonts w:hint="eastAsia"/>
                <w:sz w:val="18"/>
                <w:szCs w:val="18"/>
              </w:rPr>
              <w:t>全年国土调查规划面积</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801.45</w:t>
            </w:r>
          </w:p>
        </w:tc>
        <w:tc>
          <w:tcPr>
            <w:tcW w:w="573" w:type="dxa"/>
            <w:tcBorders>
              <w:tl2br w:val="nil"/>
              <w:tr2bl w:val="nil"/>
            </w:tcBorders>
            <w:vAlign w:val="center"/>
          </w:tcPr>
          <w:p>
            <w:pPr>
              <w:rPr>
                <w:sz w:val="18"/>
                <w:szCs w:val="18"/>
              </w:rPr>
            </w:pPr>
            <w:r>
              <w:rPr>
                <w:rFonts w:hint="eastAsia"/>
                <w:sz w:val="18"/>
                <w:szCs w:val="18"/>
              </w:rPr>
              <w:t>平方公里</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tcBorders>
              <w:tl2br w:val="nil"/>
              <w:tr2bl w:val="nil"/>
            </w:tcBorders>
            <w:vAlign w:val="center"/>
          </w:tcPr>
          <w:p>
            <w:pPr>
              <w:rPr>
                <w:sz w:val="18"/>
                <w:szCs w:val="18"/>
              </w:rPr>
            </w:pPr>
            <w:r>
              <w:rPr>
                <w:rFonts w:hint="eastAsia"/>
                <w:sz w:val="18"/>
                <w:szCs w:val="18"/>
              </w:rPr>
              <w:t>分局运行数量</w:t>
            </w:r>
          </w:p>
        </w:tc>
        <w:tc>
          <w:tcPr>
            <w:tcW w:w="2172" w:type="dxa"/>
            <w:tcBorders>
              <w:tl2br w:val="nil"/>
              <w:tr2bl w:val="nil"/>
            </w:tcBorders>
          </w:tcPr>
          <w:p>
            <w:pPr>
              <w:rPr>
                <w:sz w:val="18"/>
                <w:szCs w:val="18"/>
              </w:rPr>
            </w:pPr>
            <w:r>
              <w:rPr>
                <w:rFonts w:hint="eastAsia"/>
                <w:sz w:val="18"/>
                <w:szCs w:val="18"/>
              </w:rPr>
              <w:t>7</w:t>
            </w:r>
          </w:p>
        </w:tc>
        <w:tc>
          <w:tcPr>
            <w:tcW w:w="1483" w:type="dxa"/>
            <w:tcBorders>
              <w:tl2br w:val="nil"/>
              <w:tr2bl w:val="nil"/>
            </w:tcBorders>
            <w:vAlign w:val="center"/>
          </w:tcPr>
          <w:p>
            <w:pPr>
              <w:rPr>
                <w:sz w:val="18"/>
                <w:szCs w:val="18"/>
              </w:rPr>
            </w:pPr>
            <w:r>
              <w:rPr>
                <w:rFonts w:hint="eastAsia"/>
                <w:sz w:val="18"/>
                <w:szCs w:val="18"/>
              </w:rPr>
              <w:t>保障7各分局正常运行</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7.00</w:t>
            </w:r>
          </w:p>
        </w:tc>
        <w:tc>
          <w:tcPr>
            <w:tcW w:w="573" w:type="dxa"/>
            <w:tcBorders>
              <w:tl2br w:val="nil"/>
              <w:tr2bl w:val="nil"/>
            </w:tcBorders>
            <w:vAlign w:val="center"/>
          </w:tcPr>
          <w:p>
            <w:pPr>
              <w:rPr>
                <w:sz w:val="18"/>
                <w:szCs w:val="18"/>
              </w:rPr>
            </w:pPr>
            <w:r>
              <w:rPr>
                <w:rFonts w:hint="eastAsia"/>
                <w:sz w:val="18"/>
                <w:szCs w:val="18"/>
              </w:rPr>
              <w:t>个</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897" w:type="dxa"/>
            <w:tcBorders>
              <w:tl2br w:val="nil"/>
              <w:tr2bl w:val="nil"/>
            </w:tcBorders>
            <w:vAlign w:val="center"/>
          </w:tcPr>
          <w:p>
            <w:pPr>
              <w:rPr>
                <w:sz w:val="18"/>
                <w:szCs w:val="18"/>
              </w:rPr>
            </w:pPr>
            <w:r>
              <w:rPr>
                <w:rFonts w:hint="eastAsia"/>
                <w:sz w:val="18"/>
                <w:szCs w:val="18"/>
              </w:rPr>
              <w:t>单位日常工作</w:t>
            </w:r>
          </w:p>
        </w:tc>
        <w:tc>
          <w:tcPr>
            <w:tcW w:w="2172" w:type="dxa"/>
            <w:tcBorders>
              <w:tl2br w:val="nil"/>
              <w:tr2bl w:val="nil"/>
            </w:tcBorders>
          </w:tcPr>
          <w:p>
            <w:pPr>
              <w:rPr>
                <w:sz w:val="18"/>
                <w:szCs w:val="18"/>
              </w:rPr>
            </w:pPr>
            <w:r>
              <w:rPr>
                <w:rFonts w:hint="eastAsia"/>
                <w:sz w:val="18"/>
                <w:szCs w:val="18"/>
              </w:rPr>
              <w:t>7</w:t>
            </w:r>
          </w:p>
        </w:tc>
        <w:tc>
          <w:tcPr>
            <w:tcW w:w="1483" w:type="dxa"/>
            <w:tcBorders>
              <w:tl2br w:val="nil"/>
              <w:tr2bl w:val="nil"/>
            </w:tcBorders>
            <w:vAlign w:val="center"/>
          </w:tcPr>
          <w:p>
            <w:pPr>
              <w:rPr>
                <w:sz w:val="18"/>
                <w:szCs w:val="18"/>
              </w:rPr>
            </w:pPr>
            <w:r>
              <w:rPr>
                <w:rFonts w:hint="eastAsia"/>
                <w:sz w:val="18"/>
                <w:szCs w:val="18"/>
              </w:rPr>
              <w:t>保证工作正常运行</w:t>
            </w:r>
          </w:p>
        </w:tc>
        <w:tc>
          <w:tcPr>
            <w:tcW w:w="543" w:type="dxa"/>
            <w:tcBorders>
              <w:tl2br w:val="nil"/>
              <w:tr2bl w:val="nil"/>
            </w:tcBorders>
            <w:vAlign w:val="center"/>
          </w:tcPr>
          <w:p>
            <w:pPr>
              <w:rPr>
                <w:sz w:val="18"/>
                <w:szCs w:val="18"/>
              </w:rPr>
            </w:pPr>
            <w:r>
              <w:rPr>
                <w:rFonts w:hint="eastAsia"/>
                <w:sz w:val="18"/>
                <w:szCs w:val="18"/>
              </w:rPr>
              <w:t>文字描述</w:t>
            </w:r>
          </w:p>
        </w:tc>
        <w:tc>
          <w:tcPr>
            <w:tcW w:w="488" w:type="dxa"/>
            <w:tcBorders>
              <w:tl2br w:val="nil"/>
              <w:tr2bl w:val="nil"/>
            </w:tcBorders>
            <w:vAlign w:val="center"/>
          </w:tcPr>
          <w:p>
            <w:pPr>
              <w:jc w:val="right"/>
              <w:rPr>
                <w:sz w:val="18"/>
                <w:szCs w:val="18"/>
              </w:rPr>
            </w:pPr>
          </w:p>
        </w:tc>
        <w:tc>
          <w:tcPr>
            <w:tcW w:w="573" w:type="dxa"/>
            <w:tcBorders>
              <w:tl2br w:val="nil"/>
              <w:tr2bl w:val="nil"/>
            </w:tcBorders>
            <w:vAlign w:val="center"/>
          </w:tcPr>
          <w:p>
            <w:pPr>
              <w:rPr>
                <w:sz w:val="18"/>
                <w:szCs w:val="18"/>
              </w:rPr>
            </w:pPr>
            <w:r>
              <w:rPr>
                <w:rFonts w:hint="eastAsia"/>
                <w:sz w:val="18"/>
                <w:szCs w:val="18"/>
              </w:rPr>
              <w:t>正常运行</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rPr>
                <w:sz w:val="18"/>
                <w:szCs w:val="18"/>
              </w:rPr>
            </w:pPr>
            <w:r>
              <w:rPr>
                <w:rFonts w:hint="eastAsia"/>
                <w:sz w:val="18"/>
                <w:szCs w:val="18"/>
              </w:rPr>
              <w:t>各类补偿补助到位率（%）</w:t>
            </w:r>
          </w:p>
        </w:tc>
        <w:tc>
          <w:tcPr>
            <w:tcW w:w="2172" w:type="dxa"/>
            <w:tcBorders>
              <w:tl2br w:val="nil"/>
              <w:tr2bl w:val="nil"/>
            </w:tcBorders>
          </w:tcPr>
          <w:p>
            <w:pPr>
              <w:rPr>
                <w:sz w:val="18"/>
                <w:szCs w:val="18"/>
              </w:rPr>
            </w:pPr>
            <w:r>
              <w:rPr>
                <w:rFonts w:hint="eastAsia"/>
                <w:sz w:val="18"/>
                <w:szCs w:val="18"/>
              </w:rPr>
              <w:t>7</w:t>
            </w:r>
          </w:p>
        </w:tc>
        <w:tc>
          <w:tcPr>
            <w:tcW w:w="1483" w:type="dxa"/>
            <w:tcBorders>
              <w:tl2br w:val="nil"/>
              <w:tr2bl w:val="nil"/>
            </w:tcBorders>
            <w:vAlign w:val="center"/>
          </w:tcPr>
          <w:p>
            <w:pPr>
              <w:rPr>
                <w:sz w:val="18"/>
                <w:szCs w:val="18"/>
              </w:rPr>
            </w:pPr>
            <w:r>
              <w:rPr>
                <w:rFonts w:hint="eastAsia"/>
                <w:sz w:val="18"/>
                <w:szCs w:val="18"/>
              </w:rPr>
              <w:t>实际补偿数占应补偿数额比率</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100.00</w:t>
            </w:r>
          </w:p>
        </w:tc>
        <w:tc>
          <w:tcPr>
            <w:tcW w:w="573" w:type="dxa"/>
            <w:tcBorders>
              <w:tl2br w:val="nil"/>
              <w:tr2bl w:val="nil"/>
            </w:tcBorders>
            <w:vAlign w:val="center"/>
          </w:tcPr>
          <w:p>
            <w:pPr>
              <w:rPr>
                <w:sz w:val="18"/>
                <w:szCs w:val="18"/>
              </w:rPr>
            </w:pPr>
            <w:r>
              <w:rPr>
                <w:rFonts w:hint="eastAsia"/>
                <w:sz w:val="18"/>
                <w:szCs w:val="18"/>
              </w:rPr>
              <w:t>%</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897" w:type="dxa"/>
            <w:tcBorders>
              <w:tl2br w:val="nil"/>
              <w:tr2bl w:val="nil"/>
            </w:tcBorders>
            <w:vAlign w:val="center"/>
          </w:tcPr>
          <w:p>
            <w:pPr>
              <w:rPr>
                <w:sz w:val="18"/>
                <w:szCs w:val="18"/>
              </w:rPr>
            </w:pPr>
            <w:r>
              <w:rPr>
                <w:rFonts w:hint="eastAsia"/>
                <w:sz w:val="18"/>
                <w:szCs w:val="18"/>
              </w:rPr>
              <w:t>全市自然资源调查监测评价完成率</w:t>
            </w:r>
          </w:p>
        </w:tc>
        <w:tc>
          <w:tcPr>
            <w:tcW w:w="2172" w:type="dxa"/>
            <w:tcBorders>
              <w:tl2br w:val="nil"/>
              <w:tr2bl w:val="nil"/>
            </w:tcBorders>
          </w:tcPr>
          <w:p>
            <w:pPr>
              <w:rPr>
                <w:sz w:val="18"/>
                <w:szCs w:val="18"/>
              </w:rPr>
            </w:pPr>
            <w:r>
              <w:rPr>
                <w:rFonts w:hint="eastAsia"/>
                <w:sz w:val="18"/>
                <w:szCs w:val="18"/>
              </w:rPr>
              <w:t>7</w:t>
            </w:r>
          </w:p>
        </w:tc>
        <w:tc>
          <w:tcPr>
            <w:tcW w:w="1483" w:type="dxa"/>
            <w:tcBorders>
              <w:tl2br w:val="nil"/>
              <w:tr2bl w:val="nil"/>
            </w:tcBorders>
            <w:vAlign w:val="center"/>
          </w:tcPr>
          <w:p>
            <w:pPr>
              <w:rPr>
                <w:sz w:val="18"/>
                <w:szCs w:val="18"/>
              </w:rPr>
            </w:pPr>
            <w:r>
              <w:rPr>
                <w:rFonts w:hint="eastAsia"/>
                <w:sz w:val="18"/>
                <w:szCs w:val="18"/>
              </w:rPr>
              <w:t>应当完成数量占实施全市调查数量的比率</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90.00</w:t>
            </w:r>
          </w:p>
        </w:tc>
        <w:tc>
          <w:tcPr>
            <w:tcW w:w="573" w:type="dxa"/>
            <w:tcBorders>
              <w:tl2br w:val="nil"/>
              <w:tr2bl w:val="nil"/>
            </w:tcBorders>
            <w:vAlign w:val="center"/>
          </w:tcPr>
          <w:p>
            <w:pPr>
              <w:rPr>
                <w:sz w:val="18"/>
                <w:szCs w:val="18"/>
              </w:rPr>
            </w:pPr>
            <w:r>
              <w:rPr>
                <w:rFonts w:hint="eastAsia"/>
                <w:sz w:val="18"/>
                <w:szCs w:val="18"/>
              </w:rPr>
              <w:t>%</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897" w:type="dxa"/>
            <w:tcBorders>
              <w:tl2br w:val="nil"/>
              <w:tr2bl w:val="nil"/>
            </w:tcBorders>
            <w:vAlign w:val="center"/>
          </w:tcPr>
          <w:p>
            <w:pPr>
              <w:rPr>
                <w:sz w:val="18"/>
                <w:szCs w:val="18"/>
              </w:rPr>
            </w:pPr>
            <w:r>
              <w:rPr>
                <w:rFonts w:hint="eastAsia"/>
                <w:sz w:val="18"/>
                <w:szCs w:val="18"/>
              </w:rPr>
              <w:t>资金拨付支出时限</w:t>
            </w:r>
          </w:p>
        </w:tc>
        <w:tc>
          <w:tcPr>
            <w:tcW w:w="2172" w:type="dxa"/>
            <w:tcBorders>
              <w:tl2br w:val="nil"/>
              <w:tr2bl w:val="nil"/>
            </w:tcBorders>
          </w:tcPr>
          <w:p>
            <w:pPr>
              <w:rPr>
                <w:sz w:val="18"/>
                <w:szCs w:val="18"/>
              </w:rPr>
            </w:pPr>
            <w:r>
              <w:rPr>
                <w:rFonts w:hint="eastAsia"/>
                <w:sz w:val="18"/>
                <w:szCs w:val="18"/>
              </w:rPr>
              <w:t>8</w:t>
            </w:r>
          </w:p>
        </w:tc>
        <w:tc>
          <w:tcPr>
            <w:tcW w:w="1483" w:type="dxa"/>
            <w:tcBorders>
              <w:tl2br w:val="nil"/>
              <w:tr2bl w:val="nil"/>
            </w:tcBorders>
            <w:vAlign w:val="center"/>
          </w:tcPr>
          <w:p>
            <w:pPr>
              <w:rPr>
                <w:sz w:val="18"/>
                <w:szCs w:val="18"/>
              </w:rPr>
            </w:pPr>
            <w:r>
              <w:rPr>
                <w:rFonts w:hint="eastAsia"/>
                <w:sz w:val="18"/>
                <w:szCs w:val="18"/>
              </w:rPr>
              <w:t>从启动到拨付总时限</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11.00</w:t>
            </w:r>
          </w:p>
        </w:tc>
        <w:tc>
          <w:tcPr>
            <w:tcW w:w="573" w:type="dxa"/>
            <w:tcBorders>
              <w:tl2br w:val="nil"/>
              <w:tr2bl w:val="nil"/>
            </w:tcBorders>
            <w:vAlign w:val="center"/>
          </w:tcPr>
          <w:p>
            <w:pPr>
              <w:rPr>
                <w:sz w:val="18"/>
                <w:szCs w:val="18"/>
              </w:rPr>
            </w:pPr>
            <w:r>
              <w:rPr>
                <w:rFonts w:hint="eastAsia"/>
                <w:sz w:val="18"/>
                <w:szCs w:val="18"/>
              </w:rPr>
              <w:t>月份</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vAlign w:val="center"/>
          </w:tcPr>
          <w:p>
            <w:pPr>
              <w:rPr>
                <w:sz w:val="18"/>
                <w:szCs w:val="18"/>
              </w:rPr>
            </w:pPr>
            <w:r>
              <w:rPr>
                <w:rFonts w:hint="eastAsia"/>
                <w:sz w:val="18"/>
                <w:szCs w:val="18"/>
              </w:rPr>
              <w:t>全市自然资源统一确权登记</w:t>
            </w:r>
          </w:p>
        </w:tc>
        <w:tc>
          <w:tcPr>
            <w:tcW w:w="2172" w:type="dxa"/>
            <w:tcBorders>
              <w:tl2br w:val="nil"/>
              <w:tr2bl w:val="nil"/>
            </w:tcBorders>
          </w:tcPr>
          <w:p>
            <w:pPr>
              <w:rPr>
                <w:sz w:val="18"/>
                <w:szCs w:val="18"/>
              </w:rPr>
            </w:pPr>
            <w:r>
              <w:rPr>
                <w:rFonts w:hint="eastAsia"/>
                <w:sz w:val="18"/>
                <w:szCs w:val="18"/>
              </w:rPr>
              <w:t>8</w:t>
            </w:r>
          </w:p>
        </w:tc>
        <w:tc>
          <w:tcPr>
            <w:tcW w:w="1483" w:type="dxa"/>
            <w:tcBorders>
              <w:tl2br w:val="nil"/>
              <w:tr2bl w:val="nil"/>
            </w:tcBorders>
            <w:vAlign w:val="center"/>
          </w:tcPr>
          <w:p>
            <w:pPr>
              <w:rPr>
                <w:sz w:val="18"/>
                <w:szCs w:val="18"/>
              </w:rPr>
            </w:pPr>
            <w:r>
              <w:rPr>
                <w:rFonts w:hint="eastAsia"/>
                <w:sz w:val="18"/>
                <w:szCs w:val="18"/>
              </w:rPr>
              <w:t>自然资源和不动产登记资料收集、整理、共享、汇交管理</w:t>
            </w:r>
          </w:p>
        </w:tc>
        <w:tc>
          <w:tcPr>
            <w:tcW w:w="543" w:type="dxa"/>
            <w:tcBorders>
              <w:tl2br w:val="nil"/>
              <w:tr2bl w:val="nil"/>
            </w:tcBorders>
            <w:vAlign w:val="center"/>
          </w:tcPr>
          <w:p>
            <w:pPr>
              <w:rPr>
                <w:sz w:val="18"/>
                <w:szCs w:val="18"/>
              </w:rPr>
            </w:pPr>
            <w:r>
              <w:rPr>
                <w:rFonts w:hint="eastAsia"/>
                <w:sz w:val="18"/>
                <w:szCs w:val="18"/>
              </w:rPr>
              <w:t>文字描述</w:t>
            </w:r>
          </w:p>
        </w:tc>
        <w:tc>
          <w:tcPr>
            <w:tcW w:w="488" w:type="dxa"/>
            <w:tcBorders>
              <w:tl2br w:val="nil"/>
              <w:tr2bl w:val="nil"/>
            </w:tcBorders>
            <w:vAlign w:val="center"/>
          </w:tcPr>
          <w:p>
            <w:pPr>
              <w:jc w:val="right"/>
              <w:rPr>
                <w:sz w:val="18"/>
                <w:szCs w:val="18"/>
              </w:rPr>
            </w:pPr>
          </w:p>
        </w:tc>
        <w:tc>
          <w:tcPr>
            <w:tcW w:w="573" w:type="dxa"/>
            <w:tcBorders>
              <w:tl2br w:val="nil"/>
              <w:tr2bl w:val="nil"/>
            </w:tcBorders>
            <w:vAlign w:val="center"/>
          </w:tcPr>
          <w:p>
            <w:pPr>
              <w:rPr>
                <w:sz w:val="18"/>
                <w:szCs w:val="18"/>
              </w:rPr>
            </w:pPr>
            <w:r>
              <w:rPr>
                <w:rFonts w:hint="eastAsia"/>
                <w:sz w:val="18"/>
                <w:szCs w:val="18"/>
              </w:rPr>
              <w:t>按时登记</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经济效益</w:t>
            </w:r>
          </w:p>
        </w:tc>
        <w:tc>
          <w:tcPr>
            <w:tcW w:w="897" w:type="dxa"/>
            <w:tcBorders>
              <w:tl2br w:val="nil"/>
              <w:tr2bl w:val="nil"/>
            </w:tcBorders>
            <w:vAlign w:val="center"/>
          </w:tcPr>
          <w:p>
            <w:pPr>
              <w:rPr>
                <w:sz w:val="18"/>
                <w:szCs w:val="18"/>
              </w:rPr>
            </w:pPr>
            <w:r>
              <w:rPr>
                <w:rFonts w:hint="eastAsia"/>
                <w:sz w:val="18"/>
                <w:szCs w:val="18"/>
              </w:rPr>
              <w:t>土地收益率</w:t>
            </w:r>
          </w:p>
        </w:tc>
        <w:tc>
          <w:tcPr>
            <w:tcW w:w="2172" w:type="dxa"/>
            <w:tcBorders>
              <w:tl2br w:val="nil"/>
              <w:tr2bl w:val="nil"/>
            </w:tcBorders>
          </w:tcPr>
          <w:p>
            <w:pPr>
              <w:rPr>
                <w:sz w:val="18"/>
                <w:szCs w:val="18"/>
              </w:rPr>
            </w:pPr>
            <w:r>
              <w:rPr>
                <w:rFonts w:hint="eastAsia"/>
                <w:sz w:val="18"/>
                <w:szCs w:val="18"/>
              </w:rPr>
              <w:t>4</w:t>
            </w:r>
          </w:p>
        </w:tc>
        <w:tc>
          <w:tcPr>
            <w:tcW w:w="1483" w:type="dxa"/>
            <w:tcBorders>
              <w:tl2br w:val="nil"/>
              <w:tr2bl w:val="nil"/>
            </w:tcBorders>
            <w:vAlign w:val="center"/>
          </w:tcPr>
          <w:p>
            <w:pPr>
              <w:rPr>
                <w:sz w:val="18"/>
                <w:szCs w:val="18"/>
              </w:rPr>
            </w:pPr>
            <w:r>
              <w:rPr>
                <w:rFonts w:hint="eastAsia"/>
                <w:sz w:val="18"/>
                <w:szCs w:val="18"/>
              </w:rPr>
              <w:t>土地收益与总收益的比率</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90.00</w:t>
            </w:r>
          </w:p>
        </w:tc>
        <w:tc>
          <w:tcPr>
            <w:tcW w:w="573" w:type="dxa"/>
            <w:tcBorders>
              <w:tl2br w:val="nil"/>
              <w:tr2bl w:val="nil"/>
            </w:tcBorders>
            <w:vAlign w:val="center"/>
          </w:tcPr>
          <w:p>
            <w:pPr>
              <w:rPr>
                <w:sz w:val="18"/>
                <w:szCs w:val="18"/>
              </w:rPr>
            </w:pPr>
            <w:r>
              <w:rPr>
                <w:rFonts w:hint="eastAsia"/>
                <w:sz w:val="18"/>
                <w:szCs w:val="18"/>
              </w:rPr>
              <w:t>%</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rPr>
                <w:sz w:val="18"/>
                <w:szCs w:val="18"/>
              </w:rPr>
            </w:pPr>
            <w:r>
              <w:rPr>
                <w:rFonts w:hint="eastAsia"/>
                <w:sz w:val="18"/>
                <w:szCs w:val="18"/>
              </w:rPr>
              <w:t>满足我市重点项目用地需求</w:t>
            </w:r>
          </w:p>
        </w:tc>
        <w:tc>
          <w:tcPr>
            <w:tcW w:w="2172" w:type="dxa"/>
            <w:tcBorders>
              <w:tl2br w:val="nil"/>
              <w:tr2bl w:val="nil"/>
            </w:tcBorders>
          </w:tcPr>
          <w:p>
            <w:pPr>
              <w:rPr>
                <w:sz w:val="18"/>
                <w:szCs w:val="18"/>
              </w:rPr>
            </w:pPr>
            <w:r>
              <w:rPr>
                <w:rFonts w:hint="eastAsia"/>
                <w:sz w:val="18"/>
                <w:szCs w:val="18"/>
              </w:rPr>
              <w:t>4</w:t>
            </w:r>
          </w:p>
        </w:tc>
        <w:tc>
          <w:tcPr>
            <w:tcW w:w="1483" w:type="dxa"/>
            <w:tcBorders>
              <w:tl2br w:val="nil"/>
              <w:tr2bl w:val="nil"/>
            </w:tcBorders>
            <w:vAlign w:val="center"/>
          </w:tcPr>
          <w:p>
            <w:pPr>
              <w:rPr>
                <w:sz w:val="18"/>
                <w:szCs w:val="18"/>
              </w:rPr>
            </w:pPr>
            <w:r>
              <w:rPr>
                <w:rFonts w:hint="eastAsia"/>
                <w:sz w:val="18"/>
                <w:szCs w:val="18"/>
              </w:rPr>
              <w:t>达到占一补一、占优补优目标，实现占补平衡</w:t>
            </w:r>
          </w:p>
        </w:tc>
        <w:tc>
          <w:tcPr>
            <w:tcW w:w="543" w:type="dxa"/>
            <w:tcBorders>
              <w:tl2br w:val="nil"/>
              <w:tr2bl w:val="nil"/>
            </w:tcBorders>
            <w:vAlign w:val="center"/>
          </w:tcPr>
          <w:p>
            <w:pPr>
              <w:rPr>
                <w:sz w:val="18"/>
                <w:szCs w:val="18"/>
              </w:rPr>
            </w:pPr>
            <w:r>
              <w:rPr>
                <w:rFonts w:hint="eastAsia"/>
                <w:sz w:val="18"/>
                <w:szCs w:val="18"/>
              </w:rPr>
              <w:t>文字描述</w:t>
            </w:r>
          </w:p>
        </w:tc>
        <w:tc>
          <w:tcPr>
            <w:tcW w:w="488" w:type="dxa"/>
            <w:tcBorders>
              <w:tl2br w:val="nil"/>
              <w:tr2bl w:val="nil"/>
            </w:tcBorders>
            <w:vAlign w:val="center"/>
          </w:tcPr>
          <w:p>
            <w:pPr>
              <w:jc w:val="right"/>
              <w:rPr>
                <w:sz w:val="18"/>
                <w:szCs w:val="18"/>
              </w:rPr>
            </w:pPr>
          </w:p>
        </w:tc>
        <w:tc>
          <w:tcPr>
            <w:tcW w:w="573" w:type="dxa"/>
            <w:tcBorders>
              <w:tl2br w:val="nil"/>
              <w:tr2bl w:val="nil"/>
            </w:tcBorders>
            <w:vAlign w:val="center"/>
          </w:tcPr>
          <w:p>
            <w:pPr>
              <w:rPr>
                <w:sz w:val="18"/>
                <w:szCs w:val="18"/>
              </w:rPr>
            </w:pPr>
            <w:r>
              <w:rPr>
                <w:rFonts w:hint="eastAsia"/>
                <w:sz w:val="18"/>
                <w:szCs w:val="18"/>
              </w:rPr>
              <w:t>满足需求</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rPr>
                <w:sz w:val="18"/>
                <w:szCs w:val="18"/>
              </w:rPr>
            </w:pPr>
            <w:r>
              <w:rPr>
                <w:rFonts w:hint="eastAsia"/>
                <w:sz w:val="18"/>
                <w:szCs w:val="18"/>
              </w:rPr>
              <w:t>乱占耕地减少率</w:t>
            </w:r>
          </w:p>
        </w:tc>
        <w:tc>
          <w:tcPr>
            <w:tcW w:w="2172" w:type="dxa"/>
            <w:tcBorders>
              <w:tl2br w:val="nil"/>
              <w:tr2bl w:val="nil"/>
            </w:tcBorders>
          </w:tcPr>
          <w:p>
            <w:pPr>
              <w:rPr>
                <w:sz w:val="18"/>
                <w:szCs w:val="18"/>
              </w:rPr>
            </w:pPr>
            <w:r>
              <w:rPr>
                <w:rFonts w:hint="eastAsia"/>
                <w:sz w:val="18"/>
                <w:szCs w:val="18"/>
              </w:rPr>
              <w:t>4</w:t>
            </w:r>
          </w:p>
        </w:tc>
        <w:tc>
          <w:tcPr>
            <w:tcW w:w="1483" w:type="dxa"/>
            <w:tcBorders>
              <w:tl2br w:val="nil"/>
              <w:tr2bl w:val="nil"/>
            </w:tcBorders>
            <w:vAlign w:val="center"/>
          </w:tcPr>
          <w:p>
            <w:pPr>
              <w:rPr>
                <w:sz w:val="18"/>
                <w:szCs w:val="18"/>
              </w:rPr>
            </w:pPr>
            <w:r>
              <w:rPr>
                <w:rFonts w:hint="eastAsia"/>
                <w:sz w:val="18"/>
                <w:szCs w:val="18"/>
              </w:rPr>
              <w:t>同年对比乱占耕地减少的比率</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10.00</w:t>
            </w:r>
          </w:p>
        </w:tc>
        <w:tc>
          <w:tcPr>
            <w:tcW w:w="573" w:type="dxa"/>
            <w:tcBorders>
              <w:tl2br w:val="nil"/>
              <w:tr2bl w:val="nil"/>
            </w:tcBorders>
            <w:vAlign w:val="center"/>
          </w:tcPr>
          <w:p>
            <w:pPr>
              <w:rPr>
                <w:sz w:val="18"/>
                <w:szCs w:val="18"/>
              </w:rPr>
            </w:pPr>
            <w:r>
              <w:rPr>
                <w:rFonts w:hint="eastAsia"/>
                <w:sz w:val="18"/>
                <w:szCs w:val="18"/>
              </w:rPr>
              <w:t>%</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rPr>
                <w:sz w:val="18"/>
                <w:szCs w:val="18"/>
              </w:rPr>
            </w:pPr>
            <w:r>
              <w:rPr>
                <w:rFonts w:hint="eastAsia"/>
                <w:sz w:val="18"/>
                <w:szCs w:val="18"/>
              </w:rPr>
              <w:t>规划设计功能实现率（%）</w:t>
            </w:r>
          </w:p>
        </w:tc>
        <w:tc>
          <w:tcPr>
            <w:tcW w:w="2172" w:type="dxa"/>
            <w:tcBorders>
              <w:tl2br w:val="nil"/>
              <w:tr2bl w:val="nil"/>
            </w:tcBorders>
          </w:tcPr>
          <w:p>
            <w:pPr>
              <w:rPr>
                <w:sz w:val="18"/>
                <w:szCs w:val="18"/>
              </w:rPr>
            </w:pPr>
            <w:r>
              <w:rPr>
                <w:rFonts w:hint="eastAsia"/>
                <w:sz w:val="18"/>
                <w:szCs w:val="18"/>
              </w:rPr>
              <w:t>4</w:t>
            </w:r>
          </w:p>
        </w:tc>
        <w:tc>
          <w:tcPr>
            <w:tcW w:w="1483" w:type="dxa"/>
            <w:tcBorders>
              <w:tl2br w:val="nil"/>
              <w:tr2bl w:val="nil"/>
            </w:tcBorders>
            <w:vAlign w:val="center"/>
          </w:tcPr>
          <w:p>
            <w:pPr>
              <w:rPr>
                <w:sz w:val="18"/>
                <w:szCs w:val="18"/>
              </w:rPr>
            </w:pPr>
            <w:r>
              <w:rPr>
                <w:rFonts w:hint="eastAsia"/>
                <w:sz w:val="18"/>
                <w:szCs w:val="18"/>
              </w:rPr>
              <w:t>规划类项目完成后真正实现的数量和全年规划项目数量的比率</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95.00</w:t>
            </w:r>
          </w:p>
        </w:tc>
        <w:tc>
          <w:tcPr>
            <w:tcW w:w="573" w:type="dxa"/>
            <w:tcBorders>
              <w:tl2br w:val="nil"/>
              <w:tr2bl w:val="nil"/>
            </w:tcBorders>
            <w:vAlign w:val="center"/>
          </w:tcPr>
          <w:p>
            <w:pPr>
              <w:rPr>
                <w:sz w:val="18"/>
                <w:szCs w:val="18"/>
              </w:rPr>
            </w:pPr>
            <w:r>
              <w:rPr>
                <w:rFonts w:hint="eastAsia"/>
                <w:sz w:val="18"/>
                <w:szCs w:val="18"/>
              </w:rPr>
              <w:t>%</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rPr>
                <w:sz w:val="18"/>
                <w:szCs w:val="18"/>
              </w:rPr>
            </w:pPr>
            <w:r>
              <w:rPr>
                <w:rFonts w:hint="eastAsia"/>
                <w:sz w:val="18"/>
                <w:szCs w:val="18"/>
              </w:rPr>
              <w:t>全市国土空间生态修复</w:t>
            </w:r>
          </w:p>
        </w:tc>
        <w:tc>
          <w:tcPr>
            <w:tcW w:w="2172" w:type="dxa"/>
            <w:tcBorders>
              <w:tl2br w:val="nil"/>
              <w:tr2bl w:val="nil"/>
            </w:tcBorders>
          </w:tcPr>
          <w:p>
            <w:pPr>
              <w:rPr>
                <w:sz w:val="18"/>
                <w:szCs w:val="18"/>
              </w:rPr>
            </w:pPr>
            <w:r>
              <w:rPr>
                <w:rFonts w:hint="eastAsia"/>
                <w:sz w:val="18"/>
                <w:szCs w:val="18"/>
              </w:rPr>
              <w:t>4</w:t>
            </w:r>
          </w:p>
        </w:tc>
        <w:tc>
          <w:tcPr>
            <w:tcW w:w="1483" w:type="dxa"/>
            <w:tcBorders>
              <w:tl2br w:val="nil"/>
              <w:tr2bl w:val="nil"/>
            </w:tcBorders>
            <w:vAlign w:val="center"/>
          </w:tcPr>
          <w:p>
            <w:pPr>
              <w:rPr>
                <w:sz w:val="18"/>
                <w:szCs w:val="18"/>
              </w:rPr>
            </w:pPr>
            <w:r>
              <w:rPr>
                <w:rFonts w:hint="eastAsia"/>
                <w:sz w:val="18"/>
                <w:szCs w:val="18"/>
              </w:rPr>
              <w:t>全市国土空间生态修复统筹完成</w:t>
            </w:r>
          </w:p>
        </w:tc>
        <w:tc>
          <w:tcPr>
            <w:tcW w:w="543" w:type="dxa"/>
            <w:tcBorders>
              <w:tl2br w:val="nil"/>
              <w:tr2bl w:val="nil"/>
            </w:tcBorders>
            <w:vAlign w:val="center"/>
          </w:tcPr>
          <w:p>
            <w:pPr>
              <w:rPr>
                <w:sz w:val="18"/>
                <w:szCs w:val="18"/>
              </w:rPr>
            </w:pPr>
            <w:r>
              <w:rPr>
                <w:rFonts w:hint="eastAsia"/>
                <w:sz w:val="18"/>
                <w:szCs w:val="18"/>
              </w:rPr>
              <w:t>文字描述</w:t>
            </w:r>
          </w:p>
        </w:tc>
        <w:tc>
          <w:tcPr>
            <w:tcW w:w="488" w:type="dxa"/>
            <w:tcBorders>
              <w:tl2br w:val="nil"/>
              <w:tr2bl w:val="nil"/>
            </w:tcBorders>
            <w:vAlign w:val="center"/>
          </w:tcPr>
          <w:p>
            <w:pPr>
              <w:jc w:val="right"/>
              <w:rPr>
                <w:sz w:val="18"/>
                <w:szCs w:val="18"/>
              </w:rPr>
            </w:pPr>
          </w:p>
        </w:tc>
        <w:tc>
          <w:tcPr>
            <w:tcW w:w="573" w:type="dxa"/>
            <w:tcBorders>
              <w:tl2br w:val="nil"/>
              <w:tr2bl w:val="nil"/>
            </w:tcBorders>
            <w:vAlign w:val="center"/>
          </w:tcPr>
          <w:p>
            <w:pPr>
              <w:rPr>
                <w:sz w:val="18"/>
                <w:szCs w:val="18"/>
              </w:rPr>
            </w:pPr>
            <w:r>
              <w:rPr>
                <w:rFonts w:hint="eastAsia"/>
                <w:sz w:val="18"/>
                <w:szCs w:val="18"/>
              </w:rPr>
              <w:t>统筹完成</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rPr>
                <w:sz w:val="18"/>
                <w:szCs w:val="18"/>
              </w:rPr>
            </w:pPr>
            <w:r>
              <w:rPr>
                <w:rFonts w:hint="eastAsia"/>
                <w:sz w:val="18"/>
                <w:szCs w:val="18"/>
              </w:rPr>
              <w:t>盘活存量土地（公顷）</w:t>
            </w:r>
          </w:p>
        </w:tc>
        <w:tc>
          <w:tcPr>
            <w:tcW w:w="2172" w:type="dxa"/>
            <w:tcBorders>
              <w:tl2br w:val="nil"/>
              <w:tr2bl w:val="nil"/>
            </w:tcBorders>
          </w:tcPr>
          <w:p>
            <w:pPr>
              <w:rPr>
                <w:sz w:val="18"/>
                <w:szCs w:val="18"/>
              </w:rPr>
            </w:pPr>
            <w:r>
              <w:rPr>
                <w:rFonts w:hint="eastAsia"/>
                <w:sz w:val="18"/>
                <w:szCs w:val="18"/>
              </w:rPr>
              <w:t>4</w:t>
            </w:r>
          </w:p>
        </w:tc>
        <w:tc>
          <w:tcPr>
            <w:tcW w:w="1483" w:type="dxa"/>
            <w:tcBorders>
              <w:tl2br w:val="nil"/>
              <w:tr2bl w:val="nil"/>
            </w:tcBorders>
            <w:vAlign w:val="center"/>
          </w:tcPr>
          <w:p>
            <w:pPr>
              <w:rPr>
                <w:sz w:val="18"/>
                <w:szCs w:val="18"/>
              </w:rPr>
            </w:pPr>
            <w:r>
              <w:rPr>
                <w:rFonts w:hint="eastAsia"/>
                <w:sz w:val="18"/>
                <w:szCs w:val="18"/>
              </w:rPr>
              <w:t>盘活存量土地（公顷）</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20.00</w:t>
            </w:r>
          </w:p>
        </w:tc>
        <w:tc>
          <w:tcPr>
            <w:tcW w:w="573" w:type="dxa"/>
            <w:tcBorders>
              <w:tl2br w:val="nil"/>
              <w:tr2bl w:val="nil"/>
            </w:tcBorders>
            <w:vAlign w:val="center"/>
          </w:tcPr>
          <w:p>
            <w:pPr>
              <w:rPr>
                <w:sz w:val="18"/>
                <w:szCs w:val="18"/>
              </w:rPr>
            </w:pPr>
            <w:r>
              <w:rPr>
                <w:rFonts w:hint="eastAsia"/>
                <w:sz w:val="18"/>
                <w:szCs w:val="18"/>
              </w:rPr>
              <w:t>公顷</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rPr>
                <w:sz w:val="18"/>
                <w:szCs w:val="18"/>
              </w:rPr>
            </w:pPr>
            <w:r>
              <w:rPr>
                <w:rFonts w:hint="eastAsia"/>
                <w:sz w:val="18"/>
                <w:szCs w:val="18"/>
              </w:rPr>
              <w:t>自然资源惠民服务水平</w:t>
            </w:r>
          </w:p>
        </w:tc>
        <w:tc>
          <w:tcPr>
            <w:tcW w:w="2172" w:type="dxa"/>
            <w:tcBorders>
              <w:tl2br w:val="nil"/>
              <w:tr2bl w:val="nil"/>
            </w:tcBorders>
          </w:tcPr>
          <w:p>
            <w:pPr>
              <w:rPr>
                <w:sz w:val="18"/>
                <w:szCs w:val="18"/>
              </w:rPr>
            </w:pPr>
            <w:r>
              <w:rPr>
                <w:rFonts w:hint="eastAsia"/>
                <w:sz w:val="18"/>
                <w:szCs w:val="18"/>
              </w:rPr>
              <w:t>4</w:t>
            </w:r>
          </w:p>
        </w:tc>
        <w:tc>
          <w:tcPr>
            <w:tcW w:w="1483" w:type="dxa"/>
            <w:tcBorders>
              <w:tl2br w:val="nil"/>
              <w:tr2bl w:val="nil"/>
            </w:tcBorders>
            <w:vAlign w:val="center"/>
          </w:tcPr>
          <w:p>
            <w:pPr>
              <w:rPr>
                <w:sz w:val="18"/>
                <w:szCs w:val="18"/>
              </w:rPr>
            </w:pPr>
            <w:r>
              <w:rPr>
                <w:rFonts w:hint="eastAsia"/>
                <w:sz w:val="18"/>
                <w:szCs w:val="18"/>
              </w:rPr>
              <w:t>视频会议设备稳定运转、上报省厅市局图件制作存储安全，敏感数据不泄露，单位制图正版软件全覆盖，数字霸州基础数据库服务器存储数据安全。</w:t>
            </w:r>
          </w:p>
        </w:tc>
        <w:tc>
          <w:tcPr>
            <w:tcW w:w="543" w:type="dxa"/>
            <w:tcBorders>
              <w:tl2br w:val="nil"/>
              <w:tr2bl w:val="nil"/>
            </w:tcBorders>
            <w:vAlign w:val="center"/>
          </w:tcPr>
          <w:p>
            <w:pPr>
              <w:rPr>
                <w:sz w:val="18"/>
                <w:szCs w:val="18"/>
              </w:rPr>
            </w:pPr>
            <w:r>
              <w:rPr>
                <w:rFonts w:hint="eastAsia"/>
                <w:sz w:val="18"/>
                <w:szCs w:val="18"/>
              </w:rPr>
              <w:t>文字描述</w:t>
            </w:r>
          </w:p>
        </w:tc>
        <w:tc>
          <w:tcPr>
            <w:tcW w:w="488" w:type="dxa"/>
            <w:tcBorders>
              <w:tl2br w:val="nil"/>
              <w:tr2bl w:val="nil"/>
            </w:tcBorders>
            <w:vAlign w:val="center"/>
          </w:tcPr>
          <w:p>
            <w:pPr>
              <w:jc w:val="right"/>
              <w:rPr>
                <w:sz w:val="18"/>
                <w:szCs w:val="18"/>
              </w:rPr>
            </w:pPr>
          </w:p>
        </w:tc>
        <w:tc>
          <w:tcPr>
            <w:tcW w:w="573" w:type="dxa"/>
            <w:tcBorders>
              <w:tl2br w:val="nil"/>
              <w:tr2bl w:val="nil"/>
            </w:tcBorders>
            <w:vAlign w:val="center"/>
          </w:tcPr>
          <w:p>
            <w:pPr>
              <w:rPr>
                <w:sz w:val="18"/>
                <w:szCs w:val="18"/>
              </w:rPr>
            </w:pPr>
            <w:r>
              <w:rPr>
                <w:rFonts w:hint="eastAsia"/>
                <w:sz w:val="18"/>
                <w:szCs w:val="18"/>
              </w:rPr>
              <w:t>有所提升</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rPr>
                <w:sz w:val="18"/>
                <w:szCs w:val="18"/>
              </w:rPr>
            </w:pPr>
            <w:r>
              <w:rPr>
                <w:rFonts w:hint="eastAsia"/>
                <w:sz w:val="18"/>
                <w:szCs w:val="18"/>
              </w:rPr>
              <w:t>森林覆盖率贡献值</w:t>
            </w:r>
          </w:p>
        </w:tc>
        <w:tc>
          <w:tcPr>
            <w:tcW w:w="2172" w:type="dxa"/>
            <w:tcBorders>
              <w:tl2br w:val="nil"/>
              <w:tr2bl w:val="nil"/>
            </w:tcBorders>
          </w:tcPr>
          <w:p>
            <w:pPr>
              <w:rPr>
                <w:sz w:val="18"/>
                <w:szCs w:val="18"/>
              </w:rPr>
            </w:pPr>
            <w:r>
              <w:rPr>
                <w:rFonts w:hint="eastAsia"/>
                <w:sz w:val="18"/>
                <w:szCs w:val="18"/>
              </w:rPr>
              <w:t>12</w:t>
            </w:r>
          </w:p>
        </w:tc>
        <w:tc>
          <w:tcPr>
            <w:tcW w:w="1483" w:type="dxa"/>
            <w:tcBorders>
              <w:tl2br w:val="nil"/>
              <w:tr2bl w:val="nil"/>
            </w:tcBorders>
            <w:vAlign w:val="center"/>
          </w:tcPr>
          <w:p>
            <w:pPr>
              <w:rPr>
                <w:sz w:val="18"/>
                <w:szCs w:val="18"/>
              </w:rPr>
            </w:pPr>
            <w:r>
              <w:rPr>
                <w:rFonts w:hint="eastAsia"/>
                <w:sz w:val="18"/>
                <w:szCs w:val="18"/>
              </w:rPr>
              <w:t>奖补林地面积占全市国土面积百分比</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1.20</w:t>
            </w:r>
          </w:p>
        </w:tc>
        <w:tc>
          <w:tcPr>
            <w:tcW w:w="573" w:type="dxa"/>
            <w:tcBorders>
              <w:tl2br w:val="nil"/>
              <w:tr2bl w:val="nil"/>
            </w:tcBorders>
            <w:vAlign w:val="center"/>
          </w:tcPr>
          <w:p>
            <w:pPr>
              <w:rPr>
                <w:sz w:val="18"/>
                <w:szCs w:val="18"/>
              </w:rPr>
            </w:pPr>
            <w:r>
              <w:rPr>
                <w:rFonts w:hint="eastAsia"/>
                <w:sz w:val="18"/>
                <w:szCs w:val="18"/>
              </w:rPr>
              <w:t>%</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vAlign w:val="center"/>
          </w:tcPr>
          <w:p>
            <w:pPr>
              <w:rPr>
                <w:sz w:val="18"/>
                <w:szCs w:val="18"/>
              </w:rPr>
            </w:pPr>
            <w:r>
              <w:rPr>
                <w:rFonts w:hint="eastAsia"/>
                <w:sz w:val="18"/>
                <w:szCs w:val="18"/>
              </w:rPr>
              <w:t>受益群众满意度</w:t>
            </w:r>
          </w:p>
        </w:tc>
        <w:tc>
          <w:tcPr>
            <w:tcW w:w="2172" w:type="dxa"/>
            <w:tcBorders>
              <w:tl2br w:val="nil"/>
              <w:tr2bl w:val="nil"/>
            </w:tcBorders>
          </w:tcPr>
          <w:p>
            <w:pPr>
              <w:rPr>
                <w:sz w:val="18"/>
                <w:szCs w:val="18"/>
              </w:rPr>
            </w:pPr>
            <w:r>
              <w:rPr>
                <w:rFonts w:hint="eastAsia"/>
                <w:sz w:val="18"/>
                <w:szCs w:val="18"/>
              </w:rPr>
              <w:t>3</w:t>
            </w:r>
          </w:p>
        </w:tc>
        <w:tc>
          <w:tcPr>
            <w:tcW w:w="1483" w:type="dxa"/>
            <w:tcBorders>
              <w:tl2br w:val="nil"/>
              <w:tr2bl w:val="nil"/>
            </w:tcBorders>
            <w:vAlign w:val="center"/>
          </w:tcPr>
          <w:p>
            <w:pPr>
              <w:rPr>
                <w:sz w:val="18"/>
                <w:szCs w:val="18"/>
              </w:rPr>
            </w:pPr>
            <w:r>
              <w:rPr>
                <w:rFonts w:hint="eastAsia"/>
                <w:sz w:val="18"/>
                <w:szCs w:val="18"/>
              </w:rPr>
              <w:t>服务对象和受益群体均为满意</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95.00</w:t>
            </w:r>
          </w:p>
        </w:tc>
        <w:tc>
          <w:tcPr>
            <w:tcW w:w="573" w:type="dxa"/>
            <w:tcBorders>
              <w:tl2br w:val="nil"/>
              <w:tr2bl w:val="nil"/>
            </w:tcBorders>
            <w:vAlign w:val="center"/>
          </w:tcPr>
          <w:p>
            <w:pPr>
              <w:rPr>
                <w:sz w:val="18"/>
                <w:szCs w:val="18"/>
              </w:rPr>
            </w:pPr>
            <w:r>
              <w:rPr>
                <w:rFonts w:hint="eastAsia"/>
                <w:sz w:val="18"/>
                <w:szCs w:val="18"/>
              </w:rPr>
              <w:t>%</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rPr>
                <w:sz w:val="18"/>
                <w:szCs w:val="18"/>
              </w:rPr>
            </w:pPr>
            <w:r>
              <w:rPr>
                <w:rFonts w:hint="eastAsia"/>
                <w:sz w:val="18"/>
                <w:szCs w:val="18"/>
              </w:rPr>
              <w:t>规划使用部门满意度</w:t>
            </w:r>
          </w:p>
        </w:tc>
        <w:tc>
          <w:tcPr>
            <w:tcW w:w="2172" w:type="dxa"/>
            <w:tcBorders>
              <w:tl2br w:val="nil"/>
              <w:tr2bl w:val="nil"/>
            </w:tcBorders>
            <w:noWrap/>
          </w:tcPr>
          <w:p>
            <w:pPr>
              <w:rPr>
                <w:sz w:val="18"/>
                <w:szCs w:val="18"/>
              </w:rPr>
            </w:pPr>
            <w:r>
              <w:rPr>
                <w:rFonts w:hint="eastAsia"/>
                <w:sz w:val="18"/>
                <w:szCs w:val="18"/>
              </w:rPr>
              <w:t>3</w:t>
            </w:r>
          </w:p>
        </w:tc>
        <w:tc>
          <w:tcPr>
            <w:tcW w:w="1483" w:type="dxa"/>
            <w:tcBorders>
              <w:tl2br w:val="nil"/>
              <w:tr2bl w:val="nil"/>
            </w:tcBorders>
            <w:noWrap/>
            <w:vAlign w:val="center"/>
          </w:tcPr>
          <w:p>
            <w:pPr>
              <w:rPr>
                <w:sz w:val="18"/>
                <w:szCs w:val="18"/>
              </w:rPr>
            </w:pPr>
            <w:r>
              <w:rPr>
                <w:rFonts w:hint="eastAsia"/>
                <w:sz w:val="18"/>
                <w:szCs w:val="18"/>
              </w:rPr>
              <w:t>调查中满意人数占全部调查人数的比率</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95.00</w:t>
            </w:r>
          </w:p>
        </w:tc>
        <w:tc>
          <w:tcPr>
            <w:tcW w:w="573" w:type="dxa"/>
            <w:tcBorders>
              <w:tl2br w:val="nil"/>
              <w:tr2bl w:val="nil"/>
            </w:tcBorders>
            <w:vAlign w:val="center"/>
          </w:tcPr>
          <w:p>
            <w:pPr>
              <w:rPr>
                <w:sz w:val="18"/>
                <w:szCs w:val="18"/>
              </w:rPr>
            </w:pPr>
            <w:r>
              <w:rPr>
                <w:rFonts w:hint="eastAsia"/>
                <w:sz w:val="18"/>
                <w:szCs w:val="18"/>
              </w:rPr>
              <w:t>%</w:t>
            </w:r>
          </w:p>
        </w:tc>
        <w:tc>
          <w:tcPr>
            <w:tcW w:w="1277" w:type="dxa"/>
            <w:tcBorders>
              <w:tl2br w:val="nil"/>
              <w:tr2bl w:val="nil"/>
            </w:tcBorders>
            <w:vAlign w:val="center"/>
          </w:tcPr>
          <w:p>
            <w:pPr>
              <w:rPr>
                <w:sz w:val="18"/>
                <w:szCs w:val="18"/>
              </w:rPr>
            </w:pPr>
            <w:r>
              <w:rPr>
                <w:rFonts w:hint="eastAsia"/>
                <w:sz w:val="18"/>
                <w:szCs w:val="18"/>
              </w:rPr>
              <w:t>年度计划标准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rPr>
                <w:sz w:val="18"/>
                <w:szCs w:val="18"/>
              </w:rPr>
            </w:pPr>
            <w:r>
              <w:rPr>
                <w:rFonts w:hint="eastAsia"/>
                <w:sz w:val="18"/>
                <w:szCs w:val="18"/>
              </w:rPr>
              <w:t>职工满意度</w:t>
            </w:r>
          </w:p>
        </w:tc>
        <w:tc>
          <w:tcPr>
            <w:tcW w:w="2172" w:type="dxa"/>
            <w:tcBorders>
              <w:tl2br w:val="nil"/>
              <w:tr2bl w:val="nil"/>
            </w:tcBorders>
            <w:noWrap/>
          </w:tcPr>
          <w:p>
            <w:pPr>
              <w:rPr>
                <w:sz w:val="18"/>
                <w:szCs w:val="18"/>
              </w:rPr>
            </w:pPr>
            <w:r>
              <w:rPr>
                <w:rFonts w:hint="eastAsia"/>
                <w:sz w:val="18"/>
                <w:szCs w:val="18"/>
              </w:rPr>
              <w:t>4</w:t>
            </w:r>
          </w:p>
        </w:tc>
        <w:tc>
          <w:tcPr>
            <w:tcW w:w="1483" w:type="dxa"/>
            <w:tcBorders>
              <w:tl2br w:val="nil"/>
              <w:tr2bl w:val="nil"/>
            </w:tcBorders>
            <w:noWrap/>
            <w:vAlign w:val="center"/>
          </w:tcPr>
          <w:p>
            <w:pPr>
              <w:rPr>
                <w:sz w:val="18"/>
                <w:szCs w:val="18"/>
              </w:rPr>
            </w:pPr>
            <w:r>
              <w:rPr>
                <w:rFonts w:hint="eastAsia"/>
                <w:sz w:val="18"/>
                <w:szCs w:val="18"/>
              </w:rPr>
              <w:t>调查中满意的人数占全部调查人数的比率</w:t>
            </w:r>
          </w:p>
        </w:tc>
        <w:tc>
          <w:tcPr>
            <w:tcW w:w="543" w:type="dxa"/>
            <w:tcBorders>
              <w:tl2br w:val="nil"/>
              <w:tr2bl w:val="nil"/>
            </w:tcBorders>
            <w:vAlign w:val="center"/>
          </w:tcPr>
          <w:p>
            <w:pPr>
              <w:rPr>
                <w:sz w:val="18"/>
                <w:szCs w:val="18"/>
              </w:rPr>
            </w:pPr>
            <w:r>
              <w:rPr>
                <w:rFonts w:hint="eastAsia"/>
                <w:sz w:val="18"/>
                <w:szCs w:val="18"/>
              </w:rPr>
              <w:t>≥</w:t>
            </w:r>
          </w:p>
        </w:tc>
        <w:tc>
          <w:tcPr>
            <w:tcW w:w="488" w:type="dxa"/>
            <w:tcBorders>
              <w:tl2br w:val="nil"/>
              <w:tr2bl w:val="nil"/>
            </w:tcBorders>
            <w:vAlign w:val="center"/>
          </w:tcPr>
          <w:p>
            <w:pPr>
              <w:jc w:val="right"/>
              <w:rPr>
                <w:sz w:val="18"/>
                <w:szCs w:val="18"/>
              </w:rPr>
            </w:pPr>
            <w:r>
              <w:rPr>
                <w:rFonts w:hint="eastAsia"/>
                <w:sz w:val="18"/>
                <w:szCs w:val="18"/>
              </w:rPr>
              <w:t>95.00</w:t>
            </w:r>
          </w:p>
        </w:tc>
        <w:tc>
          <w:tcPr>
            <w:tcW w:w="573" w:type="dxa"/>
            <w:tcBorders>
              <w:tl2br w:val="nil"/>
              <w:tr2bl w:val="nil"/>
            </w:tcBorders>
            <w:vAlign w:val="center"/>
          </w:tcPr>
          <w:p>
            <w:pPr>
              <w:rPr>
                <w:sz w:val="18"/>
                <w:szCs w:val="18"/>
              </w:rPr>
            </w:pPr>
            <w:r>
              <w:rPr>
                <w:rFonts w:hint="eastAsia"/>
                <w:sz w:val="18"/>
                <w:szCs w:val="18"/>
              </w:rPr>
              <w:t>%</w:t>
            </w:r>
          </w:p>
        </w:tc>
        <w:tc>
          <w:tcPr>
            <w:tcW w:w="1277" w:type="dxa"/>
            <w:tcBorders>
              <w:tl2br w:val="nil"/>
              <w:tr2bl w:val="nil"/>
            </w:tcBorders>
            <w:vAlign w:val="center"/>
          </w:tcPr>
          <w:p>
            <w:pPr>
              <w:rPr>
                <w:sz w:val="18"/>
                <w:szCs w:val="18"/>
              </w:rPr>
            </w:pPr>
            <w:r>
              <w:rPr>
                <w:rFonts w:hint="eastAsia"/>
                <w:sz w:val="18"/>
                <w:szCs w:val="18"/>
              </w:rPr>
              <w:t>年度计划标准</w:t>
            </w:r>
          </w:p>
        </w:tc>
      </w:tr>
    </w:tbl>
    <w:p>
      <w:pPr>
        <w:rPr>
          <w:rFonts w:ascii="仿宋_GB2312" w:hAnsi="Times New Roman" w:eastAsia="仿宋_GB2312" w:cs="Times New Roman"/>
          <w:bCs/>
          <w:sz w:val="32"/>
          <w:szCs w:val="32"/>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1"/>
    <w:p>
      <w:pPr>
        <w:ind w:firstLine="560" w:firstLineChars="200"/>
        <w:jc w:val="left"/>
        <w:outlineLvl w:val="3"/>
        <w:rPr>
          <w:rFonts w:ascii="Times New Roman" w:hAnsi="宋体"/>
          <w:b/>
          <w:sz w:val="28"/>
        </w:rPr>
      </w:pPr>
      <w:bookmarkStart w:id="2" w:name="_Toc66377922"/>
      <w:r>
        <w:rPr>
          <w:rFonts w:hint="eastAsia" w:ascii="方正仿宋_GBK" w:eastAsia="方正仿宋_GBK"/>
          <w:b/>
          <w:sz w:val="28"/>
        </w:rPr>
        <w:t>1.关于提前下达2021年省级林业改革发展补助资金的通知（冀财资环[2020]103号）绩效目标表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1、关于提前下达2021年省级林业改革发展补助资金的通知（冀财资环[2020]103号）绩效目标表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1.组织开展森林防火宣传活动，普及森林防火知识</w:t>
            </w:r>
          </w:p>
          <w:p>
            <w:pPr>
              <w:spacing w:line="300" w:lineRule="exact"/>
              <w:jc w:val="left"/>
              <w:rPr>
                <w:rFonts w:ascii="方正书宋_GBK" w:eastAsia="方正书宋_GBK"/>
              </w:rPr>
            </w:pPr>
            <w:r>
              <w:rPr>
                <w:rFonts w:hint="eastAsia" w:ascii="方正书宋_GBK" w:eastAsia="方正书宋_GBK"/>
              </w:rPr>
              <w:t>2.设定防火设施，配备防灭火装备和物资,建设微型消防站6座、消防架20个</w:t>
            </w:r>
          </w:p>
          <w:p>
            <w:pPr>
              <w:spacing w:line="300" w:lineRule="exact"/>
              <w:jc w:val="left"/>
              <w:rPr>
                <w:rFonts w:ascii="方正书宋_GBK" w:eastAsia="方正书宋_GBK"/>
              </w:rPr>
            </w:pPr>
            <w:r>
              <w:rPr>
                <w:rFonts w:hint="eastAsia" w:ascii="方正书宋_GBK" w:eastAsia="方正书宋_GBK"/>
              </w:rPr>
              <w:t>3.建立森林火灾监测预警体系，及时消除隐患</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建设微型消防站8座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微型消防站</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消防架20个</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消防架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配备到位率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完成项目的时间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森林防火成本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宣传费用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≤3.64万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防火设施建设成本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建设消防架、微型消防站等所需费用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≤16.4万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产生的生态效益价值</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森林资源损失有所下降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有所下降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撬动社会资金投入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同比去年减少的森林火灾面积占去年破坏面积比率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 w:name="_Toc66377923"/>
      <w:r>
        <w:rPr>
          <w:rFonts w:hint="eastAsia" w:ascii="方正仿宋_GBK" w:eastAsia="方正仿宋_GBK"/>
          <w:b/>
          <w:sz w:val="28"/>
        </w:rPr>
        <w:t>2.全民所有建设用地资源资产清查价值体系建设项目经费绩效目标表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2、全民所有建设用地资源资产清查价值体系建设项目经费绩效目标表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1.满足全民所有建设用地资源资产经济价值估算要求，完善全民所有自然资源资产清查工作体系，健全现代化自然资源资产管理模式和制度体系.</w:t>
            </w:r>
          </w:p>
          <w:p>
            <w:pPr>
              <w:spacing w:line="300" w:lineRule="exact"/>
              <w:jc w:val="left"/>
              <w:rPr>
                <w:rFonts w:ascii="方正书宋_GBK" w:eastAsia="方正书宋_GBK"/>
              </w:rPr>
            </w:pPr>
            <w:r>
              <w:rPr>
                <w:rFonts w:hint="eastAsia" w:ascii="方正书宋_GBK" w:eastAsia="方正书宋_GBK"/>
              </w:rPr>
              <w:t>2.建立基于清查时点的、基本内涵统一的、全域覆盖的国有建设用地清查价值体系并形成建设用地清查价值一张图，为全民所有建设用地资源资产经济价值估算和进一步清查工作提供价值信息。最终成果包括1本技术报告，1套表格成果，1幅霸州市全民所有建设用地资源资产清查价值一张图（矢量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文本成果数量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霸州市全民所有建设用地资源资产清查价值体系建设技术报告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表格成果数量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霸州市全民所有建设用地资源资产清查价值体系数据表格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图件成果数量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霸州市全民所有建设用地资源资产清查价值一张图（矢量图）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通过验收的数量占全部数量的比率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成果提交一个月内组织验收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项目支出总成本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项目开展过程中各项支出费用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≤7.42万元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自然资源资产清查工作体系</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为全民所有建设用地资源资产经济价值估算和进一步清查工作提供价值信息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健全完善</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建立清查价值体系</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建立全域覆盖的国有建设用地清查价值体系</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受调查对象中表示满意和较满意人数占总人数的比例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自然资源主管部门满意度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受调查对象中表示满意和较满意人数占总人数的比例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评估中介机构及社会公众满意度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受调查对象中表示满意和较满意人数占总人数的比例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 w:name="_Toc66377924"/>
      <w:r>
        <w:rPr>
          <w:rFonts w:hint="eastAsia" w:ascii="方正仿宋_GBK" w:eastAsia="方正仿宋_GBK"/>
          <w:b/>
          <w:sz w:val="28"/>
        </w:rPr>
        <w:t>3.土地评估测量经费绩效目标表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3、土地评估测量经费绩效目标表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1.根据《河北省土地转用征收报批方法》（冀国土资发[2016]12 号）文件要求，对转用征收地块进行勘测。2021年征收地块计划勘测5000亩，切实保障征地顺利开展，项目及时落地。</w:t>
            </w:r>
          </w:p>
          <w:p>
            <w:pPr>
              <w:spacing w:line="300" w:lineRule="exact"/>
              <w:jc w:val="left"/>
              <w:rPr>
                <w:rFonts w:ascii="方正书宋_GBK" w:eastAsia="方正书宋_GBK"/>
              </w:rPr>
            </w:pPr>
            <w:r>
              <w:rPr>
                <w:rFonts w:hint="eastAsia" w:ascii="方正书宋_GBK" w:eastAsia="方正书宋_GBK"/>
              </w:rPr>
              <w:t>2.根据《河北省土地转用征收报批方法》（冀国土资发[2016]12 号）文件要求，完成违法占地测绘服务工作。2021年违法占地计划勘测5000亩，通过该项目的实施减少违法占地的发生。</w:t>
            </w:r>
          </w:p>
          <w:p>
            <w:pPr>
              <w:spacing w:line="300" w:lineRule="exact"/>
              <w:jc w:val="left"/>
              <w:rPr>
                <w:rFonts w:ascii="方正书宋_GBK" w:eastAsia="方正书宋_GBK"/>
              </w:rPr>
            </w:pPr>
            <w:r>
              <w:rPr>
                <w:rFonts w:hint="eastAsia" w:ascii="方正书宋_GBK" w:eastAsia="方正书宋_GBK"/>
              </w:rPr>
              <w:t>3.按照国有存量土地收储计划，2021年计划收储国有土地存量20公顷，对土地及地上物进行评估测算，以确定原土地使用权人的补偿款。项目计划分批次组织实施，收储评估费用及时支付，保障收储地块顺利实施。</w:t>
            </w:r>
          </w:p>
          <w:p>
            <w:pPr>
              <w:spacing w:line="300" w:lineRule="exact"/>
              <w:jc w:val="left"/>
              <w:rPr>
                <w:rFonts w:ascii="方正书宋_GBK" w:eastAsia="方正书宋_GBK"/>
              </w:rPr>
            </w:pPr>
            <w:r>
              <w:rPr>
                <w:rFonts w:hint="eastAsia" w:ascii="方正书宋_GBK" w:eastAsia="方正书宋_GBK"/>
              </w:rPr>
              <w:t>4.依据霸州市自然资源和规划局与中标方签订的《政府采购合同》要求，独立、客观、公正、科学的完成相关的国有建设用地出让评估业务，确保土地出让工作的顺利开展。</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征收地块计划勘测面积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征收地块计划勘测面积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≥5000亩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关于印发《河北省土地转用征收报批办法》的通知 冀国土资发[2016]12号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收储土地数量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收储土地数量（公顷）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≥20公顷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国有建设用地出让项目数量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卫片核查面积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计划卫片核查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≥5000亩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违法占地测量面积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计划勘测违法占地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≥5000亩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国有存量土地收储地块供地率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收储地块供地面积与收储地块总面积的比率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项目验收通过的数量占全部数量的比率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招投标时间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招投标时间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征地勘测费按时发放到位时间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实际征地勘测费落实到位时间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关于印发《河北省土地转用征收报批办法》的通知 冀国土资发[2016]12号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≤530万元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土地储备评估成本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土地储备评估成本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国有土地出让评估成本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国有土地出让评估成本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转征地块测量成本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转征地块测量成本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违法占地测量成本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违法占地测量成本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提高土地供应率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提高土地供应数量占全部土地供应数量的比率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违法占地实施监管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处罚、监管违法占地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≥5000亩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及时快速的完成土地供应</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是否能及时快速的完成国有土地供应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盘活存量土地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盘活存量土地（公顷）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≥20公顷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土地收益率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土地收益与总收益的比率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自然资源主管部门满意度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自然资源主管部门是否能完成国有土地年度供应计划</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评估测量费落实到位满意度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调查中满意和较满意的占全部调查征地户的比率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 w:name="_Toc66377925"/>
      <w:r>
        <w:rPr>
          <w:rFonts w:hint="eastAsia" w:ascii="方正仿宋_GBK" w:eastAsia="方正仿宋_GBK"/>
          <w:b/>
          <w:sz w:val="28"/>
        </w:rPr>
        <w:t>4.土地定级与基准地价评估经费绩效目标表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4、土地定级与基准地价评估经费绩效目标表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选取定级因素因子，进行定级因素分值扩散；划分城镇土地级别，利用评估方法测算各级别商服、住宅、工业、公共服务项目用地等不同用途基准地价，形成城镇土地级别与基准地价评估成果，制订基准地价参数修正体系，将成果向社会公示，并在全国基准地价备案系统进行备案。</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评估成果报告种类数（本）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城镇土地定级与基准地价评估成果报告（工作报告、技术报告、结果报告）种类数量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城镇基准地价图件数量（套）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城镇土地定级与基准地价图完成数量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城镇基准地价修正体系成果数（个</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城镇基准地价修正体系完成数量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基准地价用途种类（类）</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商服、住宅、工业、公共服务项目用地等不同用途基准地价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≥4类</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项目成果通过专家验收占全部提交成果的比率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成果备案及时性（日）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验收发布的基准地价成果在15个工作日内，在全国基准地价电子化备案系统按要求完成基准地价电子化备案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≤15日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≤42.17万元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评估覆盖范围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城镇土地定级与基准地价评估覆盖范围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≥220平方公里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评估结果持续使用年限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城镇土地定级与基准地价评估项目持续发挥作用的年限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调查中满意和较满意的公众占全部调查公众的比率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 w:name="_Toc66377926"/>
      <w:r>
        <w:rPr>
          <w:rFonts w:hint="eastAsia" w:ascii="方正仿宋_GBK" w:eastAsia="方正仿宋_GBK"/>
          <w:b/>
          <w:sz w:val="28"/>
        </w:rPr>
        <w:t>5.林业有害生物防控资金绩效目标表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5、林业有害生物防控资金绩效目标表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1.完成飞机喷药防治20万亩林地、完成地面喷药防治3万亩，达到无公害防治率85%以上，叶片保存率85%以上。</w:t>
            </w:r>
          </w:p>
          <w:p>
            <w:pPr>
              <w:spacing w:line="300" w:lineRule="exact"/>
              <w:jc w:val="left"/>
              <w:rPr>
                <w:rFonts w:ascii="方正书宋_GBK" w:eastAsia="方正书宋_GBK"/>
              </w:rPr>
            </w:pPr>
            <w:r>
              <w:rPr>
                <w:rFonts w:hint="eastAsia" w:ascii="方正书宋_GBK" w:eastAsia="方正书宋_GBK"/>
              </w:rPr>
              <w:t>2.完成林业有害生物监测调查5万亩，为防治提供依据，使我市测报准确率达到90%以上。</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林业有害生物监测调查面积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完成的监测调查面积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≥5万亩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飞机喷药防治面积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完成飞机喷药防治的作业面积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≥20万亩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地面喷药防治面积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完成地面喷药防治的作业面积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≥3万亩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叶片保存率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防治后的叶片数量和病虫害发生前叶片数量的比率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春尺蠖飞机防治完成的时限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完成春尺蠖10万亩飞防作业的最后时限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≤4月份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林业有害生物监测服务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每亩林地政府采购的价格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≤3元/亩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飞防单价</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每亩林地政府采购的价格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≤6元/亩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地面防治服务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每亩林地政府采购的价格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≤20元/亩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≤195万元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林业有害生物成灾率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成灾面积占总防治面积的比值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无公害防治率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无公害防治面积占总防治面积的比率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林业有害生物动态监测机制健全性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林业有害生物持续监测情况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监测管理文件和监测记录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群众对防治效果的满意程度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上级考核结果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上级对我市林业有害生物的考核评价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7" w:name="_Toc66377927"/>
      <w:r>
        <w:rPr>
          <w:rFonts w:hint="eastAsia" w:ascii="方正仿宋_GBK" w:eastAsia="方正仿宋_GBK"/>
          <w:b/>
          <w:sz w:val="28"/>
        </w:rPr>
        <w:t>6.霸州市煎茶铺现代物流园控制性详细规划方案及城市设计项目经费绩效目标表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6、霸州市煎茶铺现代物流园控制性详细规划方案及城市设计项目经费绩效目标表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落实科学规划、合理布局；整合资源，集约发展；完善功能，提升服务；市场运作，政府监管四项原则，做到了合理布局园区出入口、明确物流仓库形态和装卸货场地设置以及合理组织场地车流、完善附属用房设置，致力于加强园区基础设施建设、完善物流园区服务功能以及聚集和培育物流企业。</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xml:space="preserve">规划编制数量 </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完成规划编制数量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过专家评审数占提交成果数量的比率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设计周期</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设计时效内编制完成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项目建议书的预算价格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≤140万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带动当地经济发展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带动当地经济发展，为入驻企业提供专业化服务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聚集和培育物流企业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引导物流企业向园区集中，实现园区内企业的功能互补和资源共享</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上级部门对工作满意度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8" w:name="_Toc66377928"/>
      <w:r>
        <w:rPr>
          <w:rFonts w:hint="eastAsia" w:ascii="方正仿宋_GBK" w:eastAsia="方正仿宋_GBK"/>
          <w:b/>
          <w:sz w:val="28"/>
        </w:rPr>
        <w:t>7.森林督查工作经费绩效目标表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7、森林督查工作经费绩效目标表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对本区域内林地森林督查工作，包括收集变化资料、影响判读、外业调查核实、更新林地“一张图”按时提交调查报告1份。对国家下发2019-2020年度疑似变化图斑进行核实，掌握森林资源变化动态，完成疑似变化图斑现地自查，数据更新和成果报告1份，负责对破坏森林资源问题进行查处整改报告1份。此项工作需要时间4个月完成。通过此项目工作的实施对保护森林资源同去年相比减少95%，。有效遏制违法案件的发生。</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督查小斑数量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督查面积221.8858公顷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≥85块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小斑个数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小班总总个数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≥300块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小班总面积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各个小班面积之和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≥200公顷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整改到位率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实际变化图斑整改比率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完成项目的时间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督查成本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每个小班督查成本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恢复林地面积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通过此项目把已占用林地进行恢复的面积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≥90公顷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森林破坏减少率%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同比去年减少的森林破坏面积占去年破坏面积的比率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9" w:name="_Toc66377929"/>
      <w:r>
        <w:rPr>
          <w:rFonts w:hint="eastAsia" w:ascii="方正仿宋_GBK" w:eastAsia="方正仿宋_GBK"/>
          <w:b/>
          <w:sz w:val="28"/>
        </w:rPr>
        <w:t>8.益津城区停车设施专项规划（2019-2035年）编制工作经费★绩效目标表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8、益津城区停车设施专项规划（2019-2035年）编制工作经费★绩效目标表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建立高效协调的机动车停车设施规划建设及管理机制，制定相应的产业政策，推动机动车停车产业化的发展，完善机动车停车管理法规和收费价格机制，建立合理的收费机制；建立依法管理、规范服务的机动车停车管理体系。通过较短时间的发展和建设，形成城区机动车停车以配建停车为主、路外停车为辅、占道停车为补充，与城市整体交通系统相协调，供需和谐的静态交通格局。</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出具报告数量（个）</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规划文本、说明书、图纸及基础资料汇编等</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专家通过评审率（%）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专家评审通过的数量占全部上报数量的比率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法定审查程序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项目完成时间(月)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项目完成验收时间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≤63万元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规划新建停车场数量（个）</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停车场数量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规划停车场使用年限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停车场对缓解交通压力影响持续时间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胜芳城区居民满意度（%）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胜芳城区居民调查中，满意和较满意的人数占全部调查人数的比率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0" w:name="_Toc66377930"/>
      <w:r>
        <w:rPr>
          <w:rFonts w:hint="eastAsia" w:ascii="方正仿宋_GBK" w:eastAsia="方正仿宋_GBK"/>
          <w:b/>
          <w:sz w:val="28"/>
        </w:rPr>
        <w:t>9.天津津西线霸州段线位及站址周边地区规划研究经费绩效目标表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9、天津津西线霸州段线位及站址周边地区规划研究经费绩效目标表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1.将轨道沿线划分为发展片区，进一步明确轨道沿线各片区的功能定位、空间发展重点及概念性建设规模。从系统发展的角度出，充分分析轨道沿线各站点服务职能和范围，明确各站点的交通发展定位。</w:t>
            </w:r>
          </w:p>
          <w:p>
            <w:pPr>
              <w:spacing w:line="300" w:lineRule="exact"/>
              <w:jc w:val="left"/>
              <w:rPr>
                <w:rFonts w:ascii="方正书宋_GBK" w:eastAsia="方正书宋_GBK"/>
              </w:rPr>
            </w:pPr>
            <w:r>
              <w:rPr>
                <w:rFonts w:hint="eastAsia" w:ascii="方正书宋_GBK" w:eastAsia="方正书宋_GBK"/>
              </w:rPr>
              <w:t>2.结合潜在客源分布、可开发土地资源、现状与规划用地性质等因素，对现有轨道线路、站点位置进行优化，与城市空间格局紧密互动，保证建设的可行性。</w:t>
            </w:r>
          </w:p>
          <w:p>
            <w:pPr>
              <w:spacing w:line="300" w:lineRule="exact"/>
              <w:jc w:val="left"/>
              <w:rPr>
                <w:rFonts w:ascii="方正书宋_GBK" w:eastAsia="方正书宋_GBK"/>
              </w:rPr>
            </w:pPr>
            <w:r>
              <w:rPr>
                <w:rFonts w:hint="eastAsia" w:ascii="方正书宋_GBK" w:eastAsia="方正书宋_GBK"/>
              </w:rPr>
              <w:t>3.结合各片区功能定位，对各类站点的用地布局、交通设施、建设强度、绿地率和地下空间做出调整建议。</w:t>
            </w:r>
          </w:p>
          <w:p>
            <w:pPr>
              <w:spacing w:line="300" w:lineRule="exact"/>
              <w:jc w:val="left"/>
              <w:rPr>
                <w:rFonts w:ascii="方正书宋_GBK" w:eastAsia="方正书宋_GBK"/>
              </w:rPr>
            </w:pPr>
            <w:r>
              <w:rPr>
                <w:rFonts w:hint="eastAsia" w:ascii="方正书宋_GBK" w:eastAsia="方正书宋_GBK"/>
              </w:rPr>
              <w:t>4.结合轨道建设轨道完善一般通过性或集散性交通功能，各种车辆特别是公交车辆提供安全、顺畅的衔接通道；优化轨道沿线地面公交系统，以满足不同距离、速度的客流需求实现公交走廊复合功能；完善支路网系统，形成微循环系统，优化换乘设施和停车场的数量与布局等。规划建设高密度、连续性的步行系统，整合周边商业服务业设施及绿地广场等，促进轨道交通便捷集散拓展站点的服范围提升城市公共空间品质。</w:t>
            </w:r>
          </w:p>
          <w:p>
            <w:pPr>
              <w:spacing w:line="300" w:lineRule="exact"/>
              <w:jc w:val="left"/>
              <w:rPr>
                <w:rFonts w:ascii="方正书宋_GBK" w:eastAsia="方正书宋_GBK"/>
              </w:rPr>
            </w:pPr>
            <w:r>
              <w:rPr>
                <w:rFonts w:hint="eastAsia" w:ascii="方正书宋_GBK" w:eastAsia="方正书宋_GBK"/>
              </w:rPr>
              <w:t>5.结合轨道线网，提出站点、车辆段及停车场等重要轨道设施的用地控制要求。</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提交文本成果数量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规划文本、图册、说明书及基础资料汇编等附件（盖章成果）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提交图纸成果数量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规划图纸</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提交电子成果数量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规划成果电子文件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通过专家评审的数量占全部数量的比率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规委会审议通过后交付成果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根据预算申报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轨道沿线资源利用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轨道沿线资源利用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高效配置</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规划执行数占编制规划总数的比率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成果应用部门满意度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成果应用部门满意度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1" w:name="_Toc66377931"/>
      <w:r>
        <w:rPr>
          <w:rFonts w:hint="eastAsia" w:ascii="方正仿宋_GBK" w:eastAsia="方正仿宋_GBK"/>
          <w:b/>
          <w:sz w:val="28"/>
        </w:rPr>
        <w:t>10.关于提前下达2021年省级林业改革发展补助资金的通知（冀财资环[2020]103号）绩效目标表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10、关于提前下达2021年省级林业改革发展补助资金的通知（冀财资环[2020]103号）绩效目标表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1.改建温室大棚面积8000平方米</w:t>
            </w:r>
          </w:p>
          <w:p>
            <w:pPr>
              <w:spacing w:line="300" w:lineRule="exact"/>
              <w:jc w:val="left"/>
              <w:rPr>
                <w:rFonts w:ascii="方正书宋_GBK" w:eastAsia="方正书宋_GBK"/>
              </w:rPr>
            </w:pPr>
            <w:r>
              <w:rPr>
                <w:rFonts w:hint="eastAsia" w:ascii="方正书宋_GBK" w:eastAsia="方正书宋_GBK"/>
              </w:rPr>
              <w:t>2.提高花卉种植产量，提高环境质量</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改建现代化温室大棚面积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改建现代化温室大棚面积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≥8000平方米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容纳盆栽数量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≥50000盆</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专家评审验收通过率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验收合格后3个月发放资金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每株竹芋科幼苗补贴金额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≤9.5元/株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提高花卉产量、提高环境质量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带动花卉相关产业发展，提高环境质量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政府管理部门满意度(%)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政府管理部门满意和较满意的人数占全部调查部门的比率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2" w:name="_Toc66377932"/>
      <w:r>
        <w:rPr>
          <w:rFonts w:hint="eastAsia" w:ascii="方正仿宋_GBK" w:eastAsia="方正仿宋_GBK"/>
          <w:b/>
          <w:sz w:val="28"/>
        </w:rPr>
        <w:t>11.数字霸州胜芳镇基础数据库制作项目经费绩效目标表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11、数字霸州胜芳镇基础数据库制作项目经费绩效目标表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1.通过该项目实施，能够满足政府部门和行业对于基础地理信息数据的需要。</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完成GPS控制点数量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完成的D级GPS控制点数量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≥18个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完成图幅数量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完成1:500数字线划地形图图幅数量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≥432幅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完成图幅数量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完成1:1000数字正射影像图幅数量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≥108幅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完成图幅数量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完成的1:2000数字高程模型图幅数量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≥27幅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完成的地名地址数据范围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≥27平方公里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完成的三维模型数据范围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≥27平方公里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通过验收的数量占全部数量的比率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成果验收时限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成果提交一个月内组织验收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不多于预算控制数量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≤38.24万元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数字霸州基础数据库信息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扩充数字霸州基础数据库信息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不断扩充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为政府部门服务的满意程度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行业用户满意度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为行业用户服务的满意程度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3" w:name="_Toc66377933"/>
      <w:r>
        <w:rPr>
          <w:rFonts w:hint="eastAsia" w:ascii="方正仿宋_GBK" w:eastAsia="方正仿宋_GBK"/>
          <w:b/>
          <w:sz w:val="28"/>
        </w:rPr>
        <w:t>12.市政工程规划技术购买第三方服务经费绩效目标表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12、市政工程规划技术购买第三方服务经费绩效目标表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1.根据相关法律、法规、条例对霸州市规划范围内的各市政专项规划及与市政工程相关的规划进行技术合规性、合理性审查。</w:t>
            </w:r>
          </w:p>
          <w:p>
            <w:pPr>
              <w:spacing w:line="300" w:lineRule="exact"/>
              <w:jc w:val="left"/>
              <w:rPr>
                <w:rFonts w:ascii="方正书宋_GBK" w:eastAsia="方正书宋_GBK"/>
              </w:rPr>
            </w:pPr>
            <w:r>
              <w:rPr>
                <w:rFonts w:hint="eastAsia" w:ascii="方正书宋_GBK" w:eastAsia="方正书宋_GBK"/>
              </w:rPr>
              <w:t>2.提供市政工程建设项目选址、规划条件、用地及工程技术咨询服务，依据相关规范标准审核“一书三证”报批图纸及技术指标。</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项目审查完成数量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项目审查完成数量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项目审查正确率(%)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审查正确的项目占全年审查项目的比率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项目审查完成时间(日）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完成项目审查所需的时间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缩短审批时间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有效缩短审批时间，简化审批流程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审批单位满意度(%)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4" w:name="_Toc66377934"/>
      <w:r>
        <w:rPr>
          <w:rFonts w:hint="eastAsia" w:ascii="方正仿宋_GBK" w:eastAsia="方正仿宋_GBK"/>
          <w:b/>
          <w:sz w:val="28"/>
        </w:rPr>
        <w:t>13.森林督查工作经费绩效目标表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13、森林督查工作经费绩效目标表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对本区域内林地森林督查工作，包括收集变化资料、影响判读、外业调查核实、更新林地“一张图”按时提交调查报告1份。对国家下发2019-2019年度疑似变化图斑进行核实，掌握森林资源变化动态，完成疑似变化图斑现地自查，数据更新和成果报告1份，负责对破坏森林资源问题进行查处整改报告1份。</w:t>
            </w:r>
          </w:p>
          <w:p>
            <w:pPr>
              <w:spacing w:line="300" w:lineRule="exact"/>
              <w:jc w:val="left"/>
              <w:rPr>
                <w:rFonts w:ascii="方正书宋_GBK" w:eastAsia="方正书宋_GBK"/>
              </w:rPr>
            </w:pPr>
            <w:r>
              <w:rPr>
                <w:rFonts w:hint="eastAsia" w:ascii="方正书宋_GBK" w:eastAsia="方正书宋_GBK"/>
              </w:rPr>
              <w:t>2.此项工作需要时间4个月完成。通过此项目工作的实施对保护森林资源同去年相比减少95%，。有效遏制违法案件的发生。</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小斑个数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小斑总个数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小斑总面积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各个小斑面积之和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≥300公顷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整改到位率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实际变化图斑整改比率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履约验收时间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xml:space="preserve">项目完成后7天内我局履约验收完毕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≤25万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恢复林地面积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通过此项目把已占用林地进行恢复的面积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≥90公顷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森林破坏减少率%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同比去年减少的森林破坏面积占去年破坏面积的比率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5" w:name="_Toc66377935"/>
      <w:r>
        <w:rPr>
          <w:rFonts w:hint="eastAsia" w:ascii="方正仿宋_GBK" w:eastAsia="方正仿宋_GBK"/>
          <w:b/>
          <w:sz w:val="28"/>
        </w:rPr>
        <w:t>14.林业植物检疫员换装经费绩效目标表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14、林业植物检疫员换装经费绩效目标表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1.通过为6名林业植物检疫员换装，达到河北省检疫员统一着装标准，树立良好的执法形象。</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采购数量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完成采购的数量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服装质量合格率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服装质量合格率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服装样式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检疫员服装样式符合国家林业检疫员相关标准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完成采购的时间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≤6月份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服装单价</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每套服装的价格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≤3400元/套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服装使用年限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检疫员服装使用年限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上级考核结果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上级对我市检疫人员着装的考核评价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植物检疫员对服装的满意度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植物检疫员对服装的满意度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≥99%</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6" w:name="_Toc66377936"/>
      <w:r>
        <w:rPr>
          <w:rFonts w:hint="eastAsia" w:ascii="方正仿宋_GBK" w:eastAsia="方正仿宋_GBK"/>
          <w:b/>
          <w:sz w:val="28"/>
        </w:rPr>
        <w:t>15.造林绿化工程检查验收资金绩效目标表</w:t>
      </w:r>
      <w:bookmarkEnd w:id="1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15、造林绿化工程检查验收资金绩效目标表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对拟享受奖补的造林绿化工程进行检查验收，做到应查全查，且各小班的检查验收工作质量全部符合相关技术要求。通过此项目的实施，达到合理、合法发放财政补助资金的目的，吸引更多社会力量投身造林绿化，进而激发全市林业建设的生机和活力。</w:t>
            </w:r>
          </w:p>
          <w:p>
            <w:pPr>
              <w:spacing w:line="300" w:lineRule="exact"/>
              <w:jc w:val="left"/>
              <w:rPr>
                <w:rFonts w:ascii="方正书宋_GBK" w:eastAsia="方正书宋_GBK"/>
              </w:rPr>
            </w:pPr>
            <w:r>
              <w:rPr>
                <w:rFonts w:hint="eastAsia" w:ascii="方正书宋_GBK" w:eastAsia="方正书宋_GBK"/>
              </w:rPr>
              <w:t>2.检查验收费用原则上不超过4.4元/亩</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检查验收的面积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实际开展检查验收的、符合检查验收工作要求的面积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≥7.3万亩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面积误差允许范围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实际开展检查验收的各个小班面积允许的最大误差。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检查验收完成时间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从项目启动到项目资金全部拨付完成的时限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≤9月份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≤13万元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检查验收亩均费用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检查验收实际支出的费用与检查验收面积的比值（元/亩）。</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≤4.4元/亩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造林绿化奖补资金发放准确率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准确无误地发放给各造林绿化主体的奖补资金总额占实际发放的奖补资金总额的百分比。</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森林覆盖率贡献值</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检查验收成果面积中符合林业标准要求的合格林地面积占全市国土面积的百分比</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此项目服务对象和受益群体均为完成相应造林任务的主体；对服务对象随机调查，满意的人数占调查总人数的百分比。</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政府对此项目的满意程度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7" w:name="_Toc66377937"/>
      <w:r>
        <w:rPr>
          <w:rFonts w:hint="eastAsia" w:ascii="方正仿宋_GBK" w:eastAsia="方正仿宋_GBK"/>
          <w:b/>
          <w:sz w:val="28"/>
        </w:rPr>
        <w:t>16.益津城区交通整治规划编制经费★绩效目标表</w:t>
      </w:r>
      <w:bookmarkEnd w:id="1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16、益津城区交通整治规划编制经费★绩效目标表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按照《霸州市城乡总体规划（2013-2030年）》要求，针对霸州市益津城区开展交通整治规划及道路实施方案项目工作，对益津城区京九铁路以东，牤牛河以西，北环路以南，太平道以北范围的主干路、次干路、支路进行深化设计，道路有效面积160公顷。通过本次整治规划提出道路交通整治方案，缓解道路交通拥堵，改善居民出行环境，打造高效率、高品质的交通体系，建设“宜居宜业”的美丽霸州。</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成果提交数量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霸州市益津城区开展交通整治规划及道路实施方案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规划覆盖道路有效面积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道路有效面积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≥160公顷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成果报批通过率（%）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通过专家评审的成果的比率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成果报批完成进度(月)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通过专家评审的完成时间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≤204.75万元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道路交通整治效果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道路交通整治效果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当年执行规划数占年度编制规划总数的比率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8" w:name="_Toc66377938"/>
      <w:r>
        <w:rPr>
          <w:rFonts w:hint="eastAsia" w:ascii="方正仿宋_GBK" w:eastAsia="方正仿宋_GBK"/>
          <w:b/>
          <w:sz w:val="28"/>
        </w:rPr>
        <w:t>17.统一确权登记项目经费绩效目标表</w:t>
      </w:r>
      <w:bookmarkEnd w:id="1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17、统一确权登记项目经费绩效目标表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1.2021年-2023年逐步开展确权任务，于2023年底全部完成工作目标，出具成果58幅。</w:t>
            </w:r>
          </w:p>
          <w:p>
            <w:pPr>
              <w:spacing w:line="300" w:lineRule="exact"/>
              <w:jc w:val="left"/>
              <w:rPr>
                <w:rFonts w:ascii="方正书宋_GBK" w:eastAsia="方正书宋_GBK"/>
              </w:rPr>
            </w:pPr>
            <w:r>
              <w:rPr>
                <w:rFonts w:hint="eastAsia" w:ascii="方正书宋_GBK" w:eastAsia="方正书宋_GBK"/>
              </w:rPr>
              <w:t>2.根据实际工作量在2023年底前完成确权发证工作并通过检查验收，确保数据有效利用。</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成果报告数量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成果报告数量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58宗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图件成果数量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图件成果数量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58幅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表格成果数量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表格成果数量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58个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验收通过的数量占全部数量的比率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成果提交一个月内组织验收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≤125万元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调查数据有效利用率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调查的数据有效利用占全部数据的比率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自然资源登记覆盖率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自然资源登记覆盖率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确保河流湿地确权登记到位</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确保河流湿地确权登记到位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确保到位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完善宗地权属信息、有效开展确权登记工作，减少宗地权属争议，降低群众负担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调查结果及问卷调查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9" w:name="_Toc66377939"/>
      <w:r>
        <w:rPr>
          <w:rFonts w:hint="eastAsia" w:ascii="方正仿宋_GBK" w:eastAsia="方正仿宋_GBK"/>
          <w:b/>
          <w:sz w:val="28"/>
        </w:rPr>
        <w:t>18.集体建设用地和农用地基准地价制定经费绩效目标表</w:t>
      </w:r>
      <w:bookmarkEnd w:id="1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18、集体建设用地和农用地基准地价制定经费绩效目标表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选取集体建设用地定级因素因子，进行定级因素分值扩散；划分土地级别，利用评估方法测算集体建设用地各级别商服、宅基地、工业用地等不同用途基准地价，形成集体建设用地土地级别与基准地价评估成果，制订基准地价参数修正体系，将成果向社会公示，并在全国基准地价备案系统进行备案。形成集体建设用地基准地价最终成果，包括2本成果报告，1套土地定级与基准地价图，1个修正体系成果，3类不同用途基准地价。</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集体建设用地和农用地基准地价制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集体建设用地和农用地基准地价制定项目成果报告（工作报告、技术报告）种类数量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集体建设用地和农用地基准地价图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集体建设用地和农用地土地定级与基准地价图完成数量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集体建设用地和农用地基准地价修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集体建设用地和农用地基准地价修正体系完成数量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基准地价用途种类</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集体建设用地包括商服、宅基地、工业用地等不同用途基准地价；农用地包括水浇地、旱地、园地、林地等不同用途基准地价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≥7类</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项目成果通过专家验收合格率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成果提交一个月内组织验收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项目成果与集体建设用地和农用地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项目成果是否适用于集体建设用地评估工作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项目开展文件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集体建设用地和农用地基准地价制定项目覆盖范围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≥688.29平方公里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政府公示自然资源价格体系</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政府公示自然资源价格体系得到完善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得到完善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持续时长</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集体建设用地和农用地基准地价制定项目持续发挥作用的年限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成果应用单位满意度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服务对象对成果的满意程度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抽样调查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0" w:name="_Toc66377940"/>
      <w:r>
        <w:rPr>
          <w:rFonts w:hint="eastAsia" w:ascii="方正仿宋_GBK" w:eastAsia="方正仿宋_GBK"/>
          <w:b/>
          <w:sz w:val="28"/>
        </w:rPr>
        <w:t>19.开发区节约集约全面评价经费绩效目标表</w:t>
      </w:r>
      <w:bookmarkEnd w:id="2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19、开发区节约集约全面评价经费绩效目标表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调查、分析评价土地集约利用程度、测算土地集约利用潜力，全面掌握开发区土地集约利用状况，推动开发区土地利用管理基础信息建设，促进土地节约集约利用，为开发区扩区、升级和区位调整审核、动态监管、规划计划管理及有关政策制定提供依据。</w:t>
            </w:r>
          </w:p>
          <w:p>
            <w:pPr>
              <w:spacing w:line="300" w:lineRule="exact"/>
              <w:jc w:val="left"/>
              <w:rPr>
                <w:rFonts w:ascii="方正书宋_GBK" w:eastAsia="方正书宋_GBK"/>
              </w:rPr>
            </w:pPr>
            <w:r>
              <w:rPr>
                <w:rFonts w:hint="eastAsia" w:ascii="方正书宋_GBK" w:eastAsia="方正书宋_GBK"/>
              </w:rPr>
              <w:t>2.项目完成后提交2021年度开发区土地集约利用评价表格数据1套，工作报告及技术报告2套，图件成果7幅，并建设2021年开发区土地集约利用评价数据库1套。</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成果报告数量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成果报告数量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《开发区土地集约利用评价规程》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图件成果数量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成果图件数量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《开发区土地集约利用评价规程》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表格成果数量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成果表格数量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《开发区土地集约利用评价规程》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成果质检合格率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成果是否通过国家、省质检</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项目质检通过文件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提交成果后1个月内组织验收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≤149.45万元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优化土地利用结构</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辅助开发区控制建设用地增量，盘活存量，优化土地利用结构作用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河北省自然资源厅办公室关于开发区集约利用状况评价有关工作的通知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自然资源部门、开发区管理部门是否能快速准确了解开发区土地利用状况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1" w:name="_Toc66377941"/>
      <w:r>
        <w:rPr>
          <w:rFonts w:hint="eastAsia" w:ascii="方正仿宋_GBK" w:eastAsia="方正仿宋_GBK"/>
          <w:b/>
          <w:sz w:val="28"/>
        </w:rPr>
        <w:t>20.创建省级森林城市宣传经费绩效目标表</w:t>
      </w:r>
      <w:bookmarkEnd w:id="2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20、创建省级森林城市宣传经费绩效目标表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1.按照“霸州市创建省级森林城市实施方案”要求，开展不少于4次的多种形式的宣传活动，增强全民参与创建意识，为我市创建森林城市提供必要条件，达到通过省级森林城市验收的目标。</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开展宣传活动次数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全年开展创建森林城市宣传活动次数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宣传活动参与人数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每次宣传活动参与人数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每次主题宣传活动时间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宣传经费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每次大型创建森林城市宣传活动费用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宣传活动影响人数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宣传活动影响人数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≥2000人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全民造林绿化意识的提升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通过生态文化教育基地的带动作用，提升全民造林绿化意识，全民对创森工作的认识程度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民众对此项目的满意程度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2" w:name="_Toc66377942"/>
      <w:r>
        <w:rPr>
          <w:rFonts w:hint="eastAsia" w:ascii="方正仿宋_GBK" w:eastAsia="方正仿宋_GBK"/>
          <w:b/>
          <w:sz w:val="28"/>
        </w:rPr>
        <w:t>21.规划编制经费绩效目标表</w:t>
      </w:r>
      <w:bookmarkEnd w:id="2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21、规划编制经费绩效目标表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1.1环境资源承载力与生态安全格局；2发展战略定位与产业创新转型策略</w:t>
            </w:r>
          </w:p>
          <w:p>
            <w:pPr>
              <w:spacing w:line="300" w:lineRule="exact"/>
              <w:jc w:val="left"/>
              <w:rPr>
                <w:rFonts w:ascii="方正书宋_GBK" w:eastAsia="方正书宋_GBK"/>
              </w:rPr>
            </w:pPr>
            <w:r>
              <w:rPr>
                <w:rFonts w:hint="eastAsia" w:ascii="方正书宋_GBK" w:eastAsia="方正书宋_GBK"/>
              </w:rPr>
              <w:t>2.3综合交通发展；4新型城镇化策略</w:t>
            </w:r>
          </w:p>
          <w:p>
            <w:pPr>
              <w:spacing w:line="300" w:lineRule="exact"/>
              <w:jc w:val="left"/>
              <w:rPr>
                <w:rFonts w:ascii="方正书宋_GBK" w:eastAsia="方正书宋_GBK"/>
              </w:rPr>
            </w:pPr>
            <w:r>
              <w:rPr>
                <w:rFonts w:hint="eastAsia" w:ascii="方正书宋_GBK" w:eastAsia="方正书宋_GBK"/>
              </w:rPr>
              <w:t>3.5存量用地；6棚户区改造,全年计划完成11个动态监测报告，编制11个村镇规划。</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专题研究完成数量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专题研究完成数量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村镇规划完成数量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动态监测报告完成数量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动态监测报告完成数量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村镇规划完成数量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通过验收的数量占全部数量的比率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成果提交一个月内组织验收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≤736万元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年度村镇规划执行率（%）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当年执行的村镇规划数占年度编制的村镇规划总数的比率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统筹引导村镇建设发展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统筹引导村镇建设发展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决策部门满意数量占总数的比例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3" w:name="_Toc66377943"/>
      <w:r>
        <w:rPr>
          <w:rFonts w:hint="eastAsia" w:ascii="方正仿宋_GBK" w:eastAsia="方正仿宋_GBK"/>
          <w:b/>
          <w:sz w:val="28"/>
        </w:rPr>
        <w:t>22.霸州市地质灾害危险性区域评估项目资金★绩效目标表</w:t>
      </w:r>
      <w:bookmarkEnd w:id="2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22、霸州市地质灾害危险性区域评估项目资金★绩效目标表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拟对霸州市扣除已地质灾害危险性评估的全域尤其是3个重点区域（高新技术产业园、胜芳金属玻璃家具产业园、津霸现代制造产业园）进行地质灾害区域评估，面积32.5平方公里，进一步简化审批程序，提高工作效率</w:t>
            </w:r>
          </w:p>
          <w:p>
            <w:pPr>
              <w:spacing w:line="300" w:lineRule="exact"/>
              <w:jc w:val="left"/>
              <w:rPr>
                <w:rFonts w:ascii="方正书宋_GBK" w:eastAsia="方正书宋_GBK"/>
              </w:rPr>
            </w:pPr>
            <w:r>
              <w:rPr>
                <w:rFonts w:hint="eastAsia" w:ascii="方正书宋_GBK" w:eastAsia="方正书宋_GBK"/>
              </w:rPr>
              <w:t>2.对我市制定国土空间规划、社会经济发展计划以及减灾对策预案提供有力支撑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地质灾害调查面积（平方公里）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地质灾害调查涉及面积（平方公里）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≥32.5平方公里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调查重点区域数量（处）</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调查重点区域数量（处）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履约验收率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验收通过数量占全部提交数量的比率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成果上报时间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签订合同之日起3个月内提交成果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≤140.1万元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成果使用率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成果使用率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审批程序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简化审批程序，优化营商环境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简化</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制定预案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对我市制定国土空间规划、社会经济发展计划以及减灾对策预案提供有力支撑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提供有力支撑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报告使用者满意度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报告使用者满意度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4" w:name="_Toc66377944"/>
      <w:r>
        <w:rPr>
          <w:rFonts w:hint="eastAsia" w:ascii="方正仿宋_GBK" w:eastAsia="方正仿宋_GBK"/>
          <w:b/>
          <w:sz w:val="28"/>
        </w:rPr>
        <w:t>23.网络使用维护及办公设备购置经费绩效目标表</w:t>
      </w:r>
      <w:bookmarkEnd w:id="2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23、网络使用维护及办公设备购置经费绩效目标表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1.视频会议设备稳定运转，保证单位正常使用。</w:t>
            </w:r>
          </w:p>
          <w:p>
            <w:pPr>
              <w:spacing w:line="300" w:lineRule="exact"/>
              <w:jc w:val="left"/>
              <w:rPr>
                <w:rFonts w:ascii="方正书宋_GBK" w:eastAsia="方正书宋_GBK"/>
              </w:rPr>
            </w:pPr>
            <w:r>
              <w:rPr>
                <w:rFonts w:hint="eastAsia" w:ascii="方正书宋_GBK" w:eastAsia="方正书宋_GBK"/>
              </w:rPr>
              <w:t>2.通过项目实施，上报省厅市局图件制作存储安全，确保敏感数据不泄露。</w:t>
            </w:r>
          </w:p>
          <w:p>
            <w:pPr>
              <w:spacing w:line="300" w:lineRule="exact"/>
              <w:jc w:val="left"/>
              <w:rPr>
                <w:rFonts w:ascii="方正书宋_GBK" w:eastAsia="方正书宋_GBK"/>
              </w:rPr>
            </w:pPr>
            <w:r>
              <w:rPr>
                <w:rFonts w:hint="eastAsia" w:ascii="方正书宋_GBK" w:eastAsia="方正书宋_GBK"/>
              </w:rPr>
              <w:t>3.制图正版软件全覆盖，确保数字霸州基础数据库服务器存储数据安全。</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服务器（台）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购置服务器的数量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正版软件（套）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购置正版软件的数量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视频会议设备（台）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视频会议设备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xml:space="preserve">1台 </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其他办公设备（台）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电脑、打印机等</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≥140台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故障降低率(％)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故障发生同期下降比率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系统正常运行率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正常运行系统占全部系统的比值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服务器购置时间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A0彩色一体机、图形工作站购置时间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正版制图软件购置时间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天正建筑系统软件及数字霸州服务器购置时间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视频会议设备购置时间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MCU终端、会标屏购置时间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其他办公设备购置时间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其他办公设备购置时间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正版制图软件购置费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正版制图软件及数字霸州系统硬件购置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≤17.9万元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服务器购置费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土地转用征收制图设备购置金额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视频会议设备购置费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视频会议设备购置金额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其他办公设备购置费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其他办公设备购置费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≤83.6万元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自然资源惠民服务水平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视频会议设备稳定运转、上报省厅市局图件制作存储安全，敏感数据不泄露，单位制图正版软件全覆盖，数字霸州基础数据库服务器存储数据安全。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系统寿命指数(％)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按现状预算的寿命与项目立项时预期寿命的比值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设备使用满意人员占全部使用人员比率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5" w:name="_Toc66377945"/>
      <w:r>
        <w:rPr>
          <w:rFonts w:hint="eastAsia" w:ascii="方正仿宋_GBK" w:eastAsia="方正仿宋_GBK"/>
          <w:b/>
          <w:sz w:val="28"/>
        </w:rPr>
        <w:t>24.征地补偿款支出绩效目标表</w:t>
      </w:r>
      <w:bookmarkEnd w:id="2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24、征地补偿款支出绩效目标表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1.2021年计划补偿征地1500亩，根据占地村街签订的征地协议约定，在征地补偿安置方案批准之日起3个月内，将征地补偿费用按时全额拨付被征地村街，提高被征地村民的满意度。</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计划征地补偿面积（亩）</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计划征地补偿面积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≥1500亩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征地补偿按时发放到位时间（月）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实际征地补偿落实到位时间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≤4个月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资金拨付时限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签订合同之日起30日内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≤100000万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征地补偿落实到位率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落实到位的征地补偿占全部征地补偿的比率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补偿费落实到户满意度（%）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调查中满意和较满意的征地户占全部调查征地户的比率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6" w:name="_Toc66377946"/>
      <w:r>
        <w:rPr>
          <w:rFonts w:hint="eastAsia" w:ascii="方正仿宋_GBK" w:eastAsia="方正仿宋_GBK"/>
          <w:b/>
          <w:sz w:val="28"/>
        </w:rPr>
        <w:t>25.造林绿化工程检查验收经费绩效目标表</w:t>
      </w:r>
      <w:bookmarkEnd w:id="2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25、造林绿化工程检查验收经费绩效目标表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对拟享受奖补的造林绿化工程进行检查验收，做到应查全查，且各小班的检查验收工作质量全部符合相关技术要求。通过此项目的实施，达到合理、合法发放财政补助资金的目的，吸引更多社会力量投身造林绿化，进而激发全市林业建设的生机和活力。</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检查验收的面积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实际开展检查验收的、符合检查验收工作要求的面积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≥7.72万亩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面积误差允许范围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实际开展检查验收的各个小班面积允许的最大误差。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检查验收完成时间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从项目启动到项目资金全部拨付完成的时限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≤9自然月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实际支付检查验收费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≤19.3万元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验收单价</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验收单价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≤2.5元/亩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造林绿化奖补资金发放准确率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准确无误地发放给各造林绿化主体的奖补资金总额占实际发放的奖补资金总额的百分比。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确保绿化奖补资金发放公平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确保绿化奖补资金发放公平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森林覆盖率贡献值</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检查验收成果面积中符合林业标准要求的合格林地面积占全市国土面积的百分比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此项目服务对象和受益群体均为完成相应造林任务的主体；对服务对象随机调查，满意的人数占调查总人数的百分比。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政府对此项目的满意程度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7" w:name="_Toc66377947"/>
      <w:r>
        <w:rPr>
          <w:rFonts w:hint="eastAsia" w:ascii="方正仿宋_GBK" w:eastAsia="方正仿宋_GBK"/>
          <w:b/>
          <w:sz w:val="28"/>
        </w:rPr>
        <w:t>26.土地流转补偿费绩效目标表</w:t>
      </w:r>
      <w:bookmarkEnd w:id="2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26、土地流转补偿费绩效目标表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依据《河北省集体建设用地使用权流转管理办法》，对集体建设用地使用权流转业务进行审核，待领导批准后流转补偿费返还村街集体，保障及时足额拨付。通过实施本项目规范集体建设用地使用权流转行为，维护集体建设用地所有权人和使用权人的合法权益，促进土地资源优化配置和节约、集约利用，为霸州农村经济稳定发展做出贡献。</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集体建设用地使用权流转宗数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集体建设用地使用权流转宗数完成情况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集体建设用地使用权流转面积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集体建设用地使用权流转面积完成情况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≥40亩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业务卷宗完整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要件齐全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集体流转补偿费用到位率（%）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集体土地实际补偿数占应补偿数额比率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费用拨付时间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审批环节结束后2个月内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土地资源优化配置和利用情况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土地资源优化配置和利用情况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得到优化</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村集体满意率（%）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调查中满意和比较满意人数量占全部调查人数的比率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8" w:name="_Toc66377948"/>
      <w:r>
        <w:rPr>
          <w:rFonts w:hint="eastAsia" w:ascii="方正仿宋_GBK" w:eastAsia="方正仿宋_GBK"/>
          <w:b/>
          <w:sz w:val="28"/>
        </w:rPr>
        <w:t>27.数字霸州胜芳镇基础数据库制作经费★绩效目标表</w:t>
      </w:r>
      <w:bookmarkEnd w:id="2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27、数字霸州胜芳镇基础数据库制作经费★绩效目标表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完成胜芳镇30平方公里范围内，20个D级GPS控制点、480幅1:500数字线画地形图、120幅1:1000数字正射影像图、30幅数字高程模型、30平方公里地名地址数据、30平方公里三维模型等基础数据库建设项目。项目能够满足政府部门和行业对于基础地理信息数据的需要，在基础设施建设管理、区域与城镇规划、防灾减灾等各方面有着广泛的应用。</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完成GPS控制点数量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完成的D级GPS控制点数量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≥18个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完成图幅数量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完成1:500数字线划地形图图幅数量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≥480幅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完成图幅数量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完成1:1000数字正射影像图幅数量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≥120幅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完成的三维模型数据范围</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完成的地名地址数据范围</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完成图幅数量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完成的1:2000数字高程模型图幅数量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通过质检数据库质量合格率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通过第三方质量检查</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数据库建设完成时间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数据库建设完成时间</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≤12月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≤244.16万元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数字霸州基础数据库信息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扩充数字霸州基础数据库信息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不断扩充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行业用户满意度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为行业用户服务的满意程度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为政府部门服务的满意程度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29" w:name="_Toc66377949"/>
      <w:r>
        <w:rPr>
          <w:rFonts w:hint="eastAsia" w:ascii="方正仿宋_GBK" w:eastAsia="方正仿宋_GBK"/>
          <w:b/>
          <w:sz w:val="28"/>
        </w:rPr>
        <w:t>28.乡镇拆违补助经费绩效目标表</w:t>
      </w:r>
      <w:bookmarkEnd w:id="2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28、乡镇拆违补助经费绩效目标表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1.各乡镇区办完成325宗图斑，共计730亩违建的破拆清除任务，恢复土地原貌。</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补助拆除面积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拆除的违建面积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≥1120亩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补助拆除图斑数量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拆除的违建图斑数量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≥325宗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验收通过面积占第三方检查验收总面积比率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拆除图斑验收通过后1月内发放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不超预算控制数量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≤220万元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全市建设用地保障能力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全市建设用地保障能力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土地状态</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消除违建状态</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恢复 原貌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受补助乡镇满意度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0" w:name="_Toc66377950"/>
      <w:r>
        <w:rPr>
          <w:rFonts w:hint="eastAsia" w:ascii="方正仿宋_GBK" w:eastAsia="方正仿宋_GBK"/>
          <w:b/>
          <w:sz w:val="28"/>
        </w:rPr>
        <w:t>29.森林植被恢复费绩效目标表</w:t>
      </w:r>
      <w:bookmarkEnd w:id="3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29、森林植被恢复费绩效目标表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1.严格按照上级林业部门规定的范围、标准和时限要求，确保森林植被恢复费及时足额缴纳到位，切实保证我市涉及占用林地的重点项目的及时取得省政府用地批复。</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缴纳森林植被恢复亩数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缴纳森林植被恢复费的亩数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≥47亩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缴纳森林植被恢复费缴纳到位率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及时缴纳森林植被恢复费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森林植被恢复费到位时间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森林植被恢复费到位时间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缴纳森林植被恢复费的标准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≤1.5万/亩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森林覆盖率贡献面积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此项目的林地占全市国土面积的百分比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调查中满意和较满意的公众占全部调查公众的比率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1" w:name="_Toc66377951"/>
      <w:r>
        <w:rPr>
          <w:rFonts w:hint="eastAsia" w:ascii="方正仿宋_GBK" w:eastAsia="方正仿宋_GBK"/>
          <w:b/>
          <w:sz w:val="28"/>
        </w:rPr>
        <w:t>30.分局运行经费绩效目标表</w:t>
      </w:r>
      <w:bookmarkEnd w:id="3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30、分局运行经费绩效目标表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1.根据《关于2021年日常运转经费等四个项目所需资金的请示》批示，该资金为分局运行费，为弥补办公经费的不足，保证分局正常运行。</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支持分局数量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共计七个分局</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各分局日常工作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保证分局正常运行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物业费发放频次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每月按时发放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≤1次/月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电费缴纳频次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每月按时缴纳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≤1次/月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分局相关业务、工作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保证分局正常运行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顺利开展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2" w:name="_Toc66377952"/>
      <w:r>
        <w:rPr>
          <w:rFonts w:hint="eastAsia" w:ascii="方正仿宋_GBK" w:eastAsia="方正仿宋_GBK"/>
          <w:b/>
          <w:sz w:val="28"/>
        </w:rPr>
        <w:t>31.国有土地变更调查项目经费绩效目标表</w:t>
      </w:r>
      <w:bookmarkEnd w:id="3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31、国有土地变更调查项目经费绩效目标表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    2020年度国土变更调查是利用第三次国土调查统一时点更新成果，对比近一年来遥感监测成果和相关管理备案信息，掌握2020年辖区内国土利用变化情况，满足当前土地管理工作任务需要。</w:t>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国土变更调查面积（平方公里）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国土变更调查面积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801.45平方公里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提交成果数量（套）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变更调查数据库成果光盘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提交成果数量（套）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土地利用图和标准分幅图光盘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建设用地图斑差错率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建设用地图斑差错占总体的比率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变更图斑总体差错率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变更图斑总差错占总体的比率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补充耕地图斑差错率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补充耕地图斑差错占总体的比率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专家评审验收通过率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提交成果时限（月）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专家评审验收后交付成果时间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≤48.48万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国土变更调查面积覆盖率(%)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涉及调查范围的乡镇覆盖情况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总量平衡准确数据的数量(%)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自然资源数据的现势性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3" w:name="_Toc66377953"/>
      <w:r>
        <w:rPr>
          <w:rFonts w:hint="eastAsia" w:ascii="方正仿宋_GBK" w:eastAsia="方正仿宋_GBK"/>
          <w:b/>
          <w:sz w:val="28"/>
        </w:rPr>
        <w:t>32.耕地质量等别年度更新评价经费绩效目标表</w:t>
      </w:r>
      <w:bookmarkEnd w:id="3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32、耕地质量等别年度更新评价经费绩效目标表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在2019年度耕地质量等别更新评价成果的基础上，开展耕地质量等别年度更新评价工作。对2020年度验收的土地整治项目新增和提质耕地质量评价结果进行审核确认，全面掌握2020年度内耕地现状变化及耕地质量建设引起的耕地质量等别变化情况。保障年度耕地质量更新成果更好服务于耕地数量、质量、生态“三位一体”保护战略，全面体现2020年霸州市耕地数量、质量变化情况，为土地管理部门制定耕地保护政策提供重要参考依据。</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年度耕地质量等别图完成数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年度耕地质量等别（自然等、利用等、经济等）图完成数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3张</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耕地质量等别年度更新评价技术手册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年度更新评价表格成果完成数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年度更新评价表格成果完成数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耕地质量等别年度更新评价技术手册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年度更新数据库完成数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年度更新数据库完成数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耕地质量等别年度更新评价技术手册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年度等别数据库完成数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年度等别数据库完成数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耕地质量等别年度更新评价技术手册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年度耕地质量等别更新图完成数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年度耕地质量等别（自然等、利用等、经济等）更新图完成数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3张</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耕地质量等别年度更新评价技术手册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耕地变化图斑数量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2020年度验收的土地整治项目新增和提质耕地质量评价结果进行审核确认。结合2020年度土地变更调查成果，对减少耕地进行核减，对非项目实施新增耕地进行等别评定；将所有项目等别评定及变化情况、减少耕地和非项目实施新增耕地质量等别情况进行上图入库</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耕地质量等别年度更新评价技术手册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年度更新评价分析报告完成数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年度更新评价分析报告完成数量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耕地质量等别年度更新评价技术手册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通过验收的数量占全部数量的比率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成果提交一个月内组织验收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≤18.4万元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全面体现耕地数量、质量变化情况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项目成果是否能全面体现2020年度霸州市耕地数量、质量变化情况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全面体现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项目成果应用情况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为制定耕地保护政策提供参考依据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项目成果是否能为土地管理部门制定耕地保护政策提供重要参考依据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项目成果应用情况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长效管理机制健全性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项目持续开展管理机制是否健全，依据是否充分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《国土资源部办公厅关于印发&lt;耕地质量等别调查评价与监测工作方案&gt;的通知》（国土资厅发【2012】60号文）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上级主管部门满意度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上级主管部门对项目成果的满意程度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成果应用单位满意度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项目成果应用单位的满意程度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项目成果应用情况</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4" w:name="_Toc66377954"/>
      <w:r>
        <w:rPr>
          <w:rFonts w:hint="eastAsia" w:ascii="方正仿宋_GBK" w:eastAsia="方正仿宋_GBK"/>
          <w:b/>
          <w:sz w:val="28"/>
        </w:rPr>
        <w:t>33.益津南部老城城市设计项目资金绩效目标表</w:t>
      </w:r>
      <w:bookmarkEnd w:id="3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33、益津南部老城城市设计项目资金绩效目标表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1.现状调研及城市设计初步，提交初期成果，并经局内会审</w:t>
            </w:r>
          </w:p>
          <w:p>
            <w:pPr>
              <w:spacing w:line="300" w:lineRule="exact"/>
              <w:jc w:val="left"/>
              <w:rPr>
                <w:rFonts w:ascii="方正书宋_GBK" w:eastAsia="方正书宋_GBK"/>
              </w:rPr>
            </w:pPr>
            <w:r>
              <w:rPr>
                <w:rFonts w:hint="eastAsia" w:ascii="方正书宋_GBK" w:eastAsia="方正书宋_GBK"/>
              </w:rPr>
              <w:t>2.城市设计方案深化，形成中间成果并提交，规划设计项目通过专家评审</w:t>
            </w:r>
          </w:p>
          <w:p>
            <w:pPr>
              <w:spacing w:line="300" w:lineRule="exact"/>
              <w:jc w:val="left"/>
              <w:rPr>
                <w:rFonts w:ascii="方正书宋_GBK" w:eastAsia="方正书宋_GBK"/>
              </w:rPr>
            </w:pPr>
            <w:r>
              <w:rPr>
                <w:rFonts w:hint="eastAsia" w:ascii="方正书宋_GBK" w:eastAsia="方正书宋_GBK"/>
              </w:rPr>
              <w:t>3.完善方案内容，形成规划成果，编制成果通过规委会审议</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≥577公顷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成果提交数量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文本成果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成果报批通过率（%）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通过专家评审的成果的比率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成果报批完成进度(月)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通过专家评审的完成时间</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≤210万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存量用地使用情况以及生态环境情</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存量用地使用情况以及生态环境情况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当年执行规划数占年度编制规划总数的比率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规划使用部门满意度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5" w:name="_Toc66377955"/>
      <w:r>
        <w:rPr>
          <w:rFonts w:hint="eastAsia" w:ascii="方正仿宋_GBK" w:eastAsia="方正仿宋_GBK"/>
          <w:b/>
          <w:sz w:val="28"/>
        </w:rPr>
        <w:t>34.霸州市建筑风貌设计经费绩效目标表</w:t>
      </w:r>
      <w:bookmarkEnd w:id="3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34、霸州市建筑风貌设计经费绩效目标表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1.顺应气候特征：建筑设计回应霸州地域气候特点，展现具有霸州地方风情的整体建筑形象；</w:t>
            </w:r>
          </w:p>
          <w:p>
            <w:pPr>
              <w:spacing w:line="300" w:lineRule="exact"/>
              <w:jc w:val="left"/>
              <w:rPr>
                <w:rFonts w:ascii="方正书宋_GBK" w:eastAsia="方正书宋_GBK"/>
              </w:rPr>
            </w:pPr>
            <w:r>
              <w:rPr>
                <w:rFonts w:hint="eastAsia" w:ascii="方正书宋_GBK" w:eastAsia="方正书宋_GBK"/>
              </w:rPr>
              <w:t>2.弘扬文化特色：建筑设计尊重地方文脉，吸收先进理念，融贯多元特色。形成将多元文化与本土自然人文融汇贯通，传承创新、具有丰富内涵的建筑。</w:t>
            </w:r>
          </w:p>
          <w:p>
            <w:pPr>
              <w:spacing w:line="300" w:lineRule="exact"/>
              <w:jc w:val="left"/>
              <w:rPr>
                <w:rFonts w:ascii="方正书宋_GBK" w:eastAsia="方正书宋_GBK"/>
              </w:rPr>
            </w:pPr>
            <w:r>
              <w:rPr>
                <w:rFonts w:hint="eastAsia" w:ascii="方正书宋_GBK" w:eastAsia="方正书宋_GBK"/>
              </w:rPr>
              <w:t>3.展现时代精神：建筑设计坚持整体观和可持续发展观，与时俱进、兼收并蓄。设计建造中合理选用结构、技术，满足人本需求，体现时代气质。</w:t>
            </w:r>
          </w:p>
          <w:p>
            <w:pPr>
              <w:spacing w:line="300" w:lineRule="exact"/>
              <w:jc w:val="left"/>
              <w:rPr>
                <w:rFonts w:ascii="方正书宋_GBK" w:eastAsia="方正书宋_GBK"/>
              </w:rPr>
            </w:pPr>
            <w:r>
              <w:rPr>
                <w:rFonts w:hint="eastAsia" w:ascii="方正书宋_GBK" w:eastAsia="方正书宋_GBK"/>
              </w:rPr>
              <w:t>4.倡导生态理念：建筑设计坚持绿色低碳、生态环保理念，体现环境友好与资源的高效利用，减少过度装饰与资源浪费。</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提交文本成果数量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规划文本、图册、说明书及基础资料汇编等附件（盖章成果）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提交电子成果数量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规划成果电子文件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提交图纸成果数量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规划图纸</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通过专家评审表的数量占全部数量的比率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规委会审议通过后交付成果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根据预算申报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规划执行数占编制规划总数的比率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城区空间形象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城区空间形象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6" w:name="_Toc66377956"/>
      <w:r>
        <w:rPr>
          <w:rFonts w:hint="eastAsia" w:ascii="方正仿宋_GBK" w:eastAsia="方正仿宋_GBK"/>
          <w:b/>
          <w:sz w:val="28"/>
        </w:rPr>
        <w:t>35.土地占补平衡项目经费绩效目标表</w:t>
      </w:r>
      <w:bookmarkEnd w:id="3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35、土地占补平衡项目经费绩效目标表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根据项目的设计，进行土地翻耕38.09公顷，增施有机肥1142.66吨，机井首部安装13套，潜水泵安装13台，铺设管道13903米，渠系建筑物工程16座，泄水井13座，涵洞3座，高压架设2.52千米，低压架设1.3千米，变压器安装10台，4米田间路3938米，6米田间路2455米，更新机井11眼，购置变压器10台，潜水泵13台。工程全部完工后增加新增耕地面积，提升耕地质量，提高粮食产能。</w:t>
            </w:r>
          </w:p>
          <w:p>
            <w:pPr>
              <w:spacing w:line="300" w:lineRule="exact"/>
              <w:jc w:val="left"/>
              <w:rPr>
                <w:rFonts w:ascii="方正书宋_GBK" w:eastAsia="方正书宋_GBK"/>
              </w:rPr>
            </w:pPr>
            <w:r>
              <w:rPr>
                <w:rFonts w:hint="eastAsia" w:ascii="方正书宋_GBK" w:eastAsia="方正书宋_GBK"/>
              </w:rPr>
              <w:t>2.对项目区进行实地踏勘、设计等相关工作。为2020年补充耕地项目提供前期规划。</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新增水利设施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当年新增农田水利设施工程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≥10千米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土地翻耕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土地翻耕面积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≥38.09公顷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新增田间路（公里）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当年新增田间道路长度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≥5千米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潜水泵安装数量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潜水泵安装数量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≥13台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变压器安装数量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变压器安装数量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新增泄水井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新增泄水井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≥13座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增施有机肥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有机肥增施量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≥1142.66吨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铺设管道</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铺设管道长度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≥13903米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渠系建筑物工程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渠系建筑物工程数量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≥16座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高压架设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高压架设长度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≥2.52千米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低压架设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低压架设长度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≥1.3千米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涵洞</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建设涵洞数量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项目验收通过率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合同工期日历天</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≤60天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≤248.5万元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管护主体责任落实率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项目竣工移交后办理移交手续，与项目管护单位签署管护协议（按照村街数量）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农民满意度（%）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调查中满意和比较满意农民数量占全部调查人数的比率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调查走访</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7" w:name="_Toc66377957"/>
      <w:r>
        <w:rPr>
          <w:rFonts w:hint="eastAsia" w:ascii="方正仿宋_GBK" w:eastAsia="方正仿宋_GBK"/>
          <w:b/>
          <w:sz w:val="28"/>
        </w:rPr>
        <w:t>36.地热资源环境承载力评价项目经费绩效目标表</w:t>
      </w:r>
      <w:bookmarkEnd w:id="3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36、地热资源环境承载力评价项目经费绩效目标表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1.对我市20处地热资源开发利用情况进行现状调查，对不同区域的地热资源提出短板因素和面临的主要问题，为强化地热资源管理，促进地热资源可持续利用提供依据。</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编制评价报告</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编制霸州市地热资源环境承载力评价报告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承载力评价要素（个）</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承载力评价要素（个）</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进行地热资源开发利用现状调查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进行地热资源开发利用现状调查（处）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通过验收的数量占全部数量的比率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成果提交一个月内完成组织验收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≤1个月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≤14.76万元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地热资源保障能力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地热资源保障能力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报告成果发挥作用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报告使用者满意度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报告使用者满意度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8" w:name="_Toc66377958"/>
      <w:r>
        <w:rPr>
          <w:rFonts w:hint="eastAsia" w:ascii="方正仿宋_GBK" w:eastAsia="方正仿宋_GBK"/>
          <w:b/>
          <w:sz w:val="28"/>
        </w:rPr>
        <w:t>37.宅基地和集体建设用地使用权确权登记颁证项目经费绩效目标表</w:t>
      </w:r>
      <w:bookmarkEnd w:id="3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37、宅基地和集体建设用地使用权确权登记颁证项目经费绩效目标表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1.利用霸州市基本完成了农村房地一体调查成果，加快推进确权登记颁证工作，根据宅基地和集体建设用地使用权登记的历史档案和房地一体现势数据库提供整合，进而实现国家要求的确权颁证工作。</w:t>
            </w:r>
          </w:p>
          <w:p>
            <w:pPr>
              <w:spacing w:line="300" w:lineRule="exact"/>
              <w:jc w:val="left"/>
              <w:rPr>
                <w:rFonts w:ascii="方正书宋_GBK" w:eastAsia="方正书宋_GBK"/>
              </w:rPr>
            </w:pPr>
            <w:r>
              <w:rPr>
                <w:rFonts w:hint="eastAsia" w:ascii="方正书宋_GBK" w:eastAsia="方正书宋_GBK"/>
              </w:rPr>
              <w:t>2.2021年10月前完成14万户宅基地档案和集体建设用地档案数据扫描、整合入库、数据挂接，实现宅基地登记矢量数据和登记档案数据汇交。</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档案数字化扫描数量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对宅基地和集体建设用地登记的历史档案进行扫描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≥140000户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录入档案信息户数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对宅基地和集体建设用地登记的历史档案进行录入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≥140000户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转带属性转接户数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对宅基地和集体建设用地登记的历史档案进行转带属性挂接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≥140000户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外业核查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宗地界址点不详面积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≥7.15平方公里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整合数据合格率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总汇交整合数据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2021年7月底前完成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2021年7月底前完成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≤7月份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档案数字化扫描预算控制数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≤112万元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外业核查预算控制数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≤61.16万元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转带属性转接预算控制数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字段录入预算控制数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≤184.8万元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登记档案信息查询时间节省率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项目实施前后档案检索平均时间节省量与项目实施前档案检索平均时间的比率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不动产登记自助查询数据基础</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图形入库、登记数据补录和档案挂接，完善不动产登记数据，为自助查询提供数据基础</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不断完善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不动产登记使用人员满意度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调查不动产登记使用人员满意人数占总调查人数的比率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调查阅卷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39" w:name="_Toc66377959"/>
      <w:r>
        <w:rPr>
          <w:rFonts w:hint="eastAsia" w:ascii="方正仿宋_GBK" w:eastAsia="方正仿宋_GBK"/>
          <w:b/>
          <w:sz w:val="28"/>
        </w:rPr>
        <w:t>38.标定地价体系建设经费绩效目标表</w:t>
      </w:r>
      <w:bookmarkEnd w:id="3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38、标定地价体系建设经费绩效目标表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确定公示范围、标定区域，核实更新标准宗地，长期跟踪标准宗地及其表征区域的价格影响因素变化，采用规范的评估方法，更新评估标准宗地的标定地价，按规范格式与内容向社会公布，形成区域内正常土地市场的价值参考。</w:t>
            </w:r>
          </w:p>
          <w:p>
            <w:pPr>
              <w:spacing w:line="300" w:lineRule="exact"/>
              <w:jc w:val="left"/>
              <w:rPr>
                <w:rFonts w:ascii="方正书宋_GBK" w:eastAsia="方正书宋_GBK"/>
              </w:rPr>
            </w:pPr>
            <w:r>
              <w:rPr>
                <w:rFonts w:hint="eastAsia" w:ascii="方正书宋_GBK" w:eastAsia="方正书宋_GBK"/>
              </w:rPr>
              <w:t>2.形象客观地在区域范围内树立地价参考，引导公众认识地价分布情况与趋势走向。完善以基准地价、监测地价和标定地价为主的“三位一体”的公示地价体系。 最终形成标定地价更新成果，其中包括1本评估报告，5个表格成果，1幅城区标准宗地与标定区域布设图。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文本成果数量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标定地价评估报告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表格成果数量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标准宗地登记信息表、标准宗地评估技术要点表、标定地价建议及审核结果表、标定地价信息公示表、标定地价修正体系表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图件成果数量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城区标准宗地与标定区域布设图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成果通过专家验收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成果出具时间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项目支出总成本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项目开展过程中各项支出费用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规范土地市场参考标准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为土地出让、交易、宗地评估、不动产税基评估等相关工作提供参考依据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标定地价更新成果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标定地价公布率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更新评估标准宗地的标定地价，按规范格式与内容向社会公布率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公众信息知晓率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标定地价成果在应用单位中的知晓率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需求调研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成果应用单位满意度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政府、自然资源主管部门、评估中介机构及社会公众的综合满意程度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需求调研</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0" w:name="_Toc66377960"/>
      <w:r>
        <w:rPr>
          <w:rFonts w:hint="eastAsia" w:ascii="方正仿宋_GBK" w:eastAsia="方正仿宋_GBK"/>
          <w:b/>
          <w:sz w:val="28"/>
        </w:rPr>
        <w:t>39.不动产批量登记服务经费绩效目标表</w:t>
      </w:r>
      <w:bookmarkEnd w:id="4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39、不动产批量登记服务经费绩效目标表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1.完成3万宗批量登记工作并做好档案整理、移交、接收、管理、保存工作,登记审核差错率控制在1%以下，档案排序不整洁控制在300次以下，确保登记行为规范，保障登记资料齐全、真实、准确。</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xml:space="preserve"> 批量登记工作数量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完成批量登记数量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登记审核差错率（%）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原始数据抄录差错次数占抄录总次数的比率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档案整洁排序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档案排序不整洁数量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批量登记工作办结时限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批量登记工作网上按时办结时限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≤36万元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不动产登记服务质量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不动产登记服务质量提升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登记申请人满意度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登记申请人满意程度占总调查人数的比率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调查阅卷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1" w:name="_Toc66377961"/>
      <w:r>
        <w:rPr>
          <w:rFonts w:hint="eastAsia" w:ascii="方正仿宋_GBK" w:eastAsia="方正仿宋_GBK"/>
          <w:b/>
          <w:sz w:val="28"/>
        </w:rPr>
        <w:t>40.农村集体土地所有权补充调查项目经费绩效目标表</w:t>
      </w:r>
      <w:bookmarkEnd w:id="4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40、农村集体土地所有权补充调查项目经费绩效目标表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1.将原权籍库坐标由80转为2000国家大地坐标系，做好市区县际接边，解决宗地缝隙和重叠，完成地籍区（子区）的更新。</w:t>
            </w:r>
          </w:p>
          <w:p>
            <w:pPr>
              <w:spacing w:line="300" w:lineRule="exact"/>
              <w:jc w:val="left"/>
              <w:rPr>
                <w:rFonts w:ascii="方正书宋_GBK" w:eastAsia="方正书宋_GBK"/>
              </w:rPr>
            </w:pPr>
            <w:r>
              <w:rPr>
                <w:rFonts w:hint="eastAsia" w:ascii="方正书宋_GBK" w:eastAsia="方正书宋_GBK"/>
              </w:rPr>
              <w:t>2.通过该项目的实施对集体土地所有权农民集体名称、土地坐落、界址、面积等发生变化或登记错误的进行变更或更正登记，对农民集体之间互换土地、调整土地的进行转移登记，对被征收的集体土地进行注销登记，以此提高数据准确性。</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成果报告数量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成果报告数量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地籍调查规程TD/T1001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表格成果数量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表格成果数量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1640个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地籍调查规程TD/T1001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图件成果数量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图件成果数量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1640幅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地籍调查规程TD/T1001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验收合格的数量占全部提交数量的比率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省厅数据汇交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提交成果后一个月内组织验收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省厅数据汇交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项目费用合理性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≤89万元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调查数据有效利用率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存量数据整合到不动产数据库，提高数据库宗地信息完整率，保障不动产登记顺利开展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省厅冀自然资字【（2019）37号】文件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调查结果及问卷调查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2" w:name="_Toc66377962"/>
      <w:r>
        <w:rPr>
          <w:rFonts w:hint="eastAsia" w:ascii="方正仿宋_GBK" w:eastAsia="方正仿宋_GBK"/>
          <w:b/>
          <w:sz w:val="28"/>
        </w:rPr>
        <w:t>41.无人机低空遥感技术国土巡查项目经费绩效目标表</w:t>
      </w:r>
      <w:bookmarkEnd w:id="4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41、无人机低空遥感技术国土巡查项目经费绩效目标表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1.2019年9月-2019年12月完成全部三次航空摄影采集工作；完成三次航摄影像内业处理工作；完成三次图斑提取工作，逐期减少新增违法建设用地10%以上。</w:t>
            </w:r>
          </w:p>
          <w:p>
            <w:pPr>
              <w:spacing w:line="300" w:lineRule="exact"/>
              <w:jc w:val="left"/>
              <w:rPr>
                <w:rFonts w:ascii="方正书宋_GBK" w:eastAsia="方正书宋_GBK"/>
              </w:rPr>
            </w:pPr>
            <w:r>
              <w:rPr>
                <w:rFonts w:hint="eastAsia" w:ascii="方正书宋_GBK" w:eastAsia="方正书宋_GBK"/>
              </w:rPr>
              <w:t>2.图斑提取有效利用率80%以上。</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完成航摄成图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完成航空摄影采集工作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完成航空摄影采集工作面积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≥140平方公里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图斑有效提取率（%）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有效图斑占提取图斑总量的比率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验收合格数量占全部工作数量的比率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首次巡查完成时间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个批次任务开展后2个月内完成当次航摄任务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≤60天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不多于预算控制数量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≤16.65万元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地理信息成果共建共享工作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地理信息成果共建共享工作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不断推进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逐期减少新增违法建设用地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本期新增建设用地与前期新增建设用地差值占本期新增建设用地比率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图斑用户满意度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3" w:name="_Toc66377963"/>
      <w:r>
        <w:rPr>
          <w:rFonts w:hint="eastAsia" w:ascii="方正仿宋_GBK" w:eastAsia="方正仿宋_GBK"/>
          <w:b/>
          <w:sz w:val="28"/>
        </w:rPr>
        <w:t>42.国有土地收储成本绩效目标表</w:t>
      </w:r>
      <w:bookmarkEnd w:id="4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42、国有土地收储成本绩效目标表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1.2021年计划收储国有存量土地面积20公顷,国有存量土地收储地块供地率为90%，盘活存量土地20公顷，土地收益率为90%。按照国有存量土地收储计划，2021年第一季度开始实施，第四季度完成，及时拨付收储资金，保障收储地块顺利实施，分批次组织供地，确保完成全年绩效目标。在国有存量土地收储过程中进行土地勘测、实地测量，保障收储地块四邻无误。盘活国有存量土地，促进土地集约利用，增加土地价值，提高政府土地收益。</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收储土地数量（公顷）</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收储土地数量（公顷）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≥20公顷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国有存量土地收储地块供地率（%）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收储地块供地面积与收储地块总面积的比率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≤47000万元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盘活存量土地（公顷）</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盘活存量土地（公顷）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≥20公顷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土地收益率（%）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土地收益与总收益的比率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被收储单位满意度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被收储单位中满意的人数占全部人数的比率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4" w:name="_Toc66377964"/>
      <w:r>
        <w:rPr>
          <w:rFonts w:hint="eastAsia" w:ascii="方正仿宋_GBK" w:eastAsia="方正仿宋_GBK"/>
          <w:b/>
          <w:sz w:val="28"/>
        </w:rPr>
        <w:t>43.农村乱占耕地建房摸排技术服务经费绩效目标表</w:t>
      </w:r>
      <w:bookmarkEnd w:id="4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43、农村乱占耕地建房摸排技术服务经费绩效目标表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1.完成霸州市6183个疑似图斑的分类整理工作，统计汇总各村级疑似图斑占用基本农田、符合土地利用总体规划、符合城乡建设规划情况。</w:t>
            </w:r>
          </w:p>
          <w:p>
            <w:pPr>
              <w:spacing w:line="300" w:lineRule="exact"/>
              <w:jc w:val="left"/>
              <w:rPr>
                <w:rFonts w:ascii="方正书宋_GBK" w:eastAsia="方正书宋_GBK"/>
              </w:rPr>
            </w:pPr>
            <w:r>
              <w:rPr>
                <w:rFonts w:hint="eastAsia" w:ascii="方正书宋_GBK" w:eastAsia="方正书宋_GBK"/>
              </w:rPr>
              <w:t>2.完成15个乡镇的疑似图斑指引图的制作,同年对比乱占耕地减少的10%。</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完成疑似图斑的分类汇总</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国家下发的疑似图斑的分类汇总，制作表格数据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≥6183个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完成疑似图斑指引图制作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乡（镇、办事处）疑似图斑指引图及专题地图制作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≥15个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完成技术指导工作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对乡（镇、办事处）组织</w:t>
            </w:r>
          </w:p>
          <w:p>
            <w:pPr>
              <w:spacing w:line="300" w:lineRule="exact"/>
              <w:jc w:val="left"/>
              <w:rPr>
                <w:rFonts w:ascii="方正书宋_GBK" w:eastAsia="方正书宋_GBK"/>
              </w:rPr>
            </w:pPr>
            <w:r>
              <w:rPr>
                <w:rFonts w:hint="eastAsia" w:ascii="方正书宋_GBK" w:eastAsia="方正书宋_GBK"/>
              </w:rPr>
              <w:t>技术培训指导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≥15次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完成数据审核工作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基层上报数据后</w:t>
            </w:r>
          </w:p>
          <w:p>
            <w:pPr>
              <w:spacing w:line="300" w:lineRule="exact"/>
              <w:jc w:val="left"/>
              <w:rPr>
                <w:rFonts w:ascii="方正书宋_GBK" w:eastAsia="方正书宋_GBK"/>
              </w:rPr>
            </w:pPr>
            <w:r>
              <w:rPr>
                <w:rFonts w:hint="eastAsia" w:ascii="方正书宋_GBK" w:eastAsia="方正书宋_GBK"/>
              </w:rPr>
              <w:t>审核抽查工作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≥6183个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验收通过与下发图斑的比率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签订合同日起10个月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不超出预算金额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≤18.17万元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乱占耕地减少率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同年对比乱占耕地减少的比率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用户满意度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市自然资源和规划局对</w:t>
            </w:r>
          </w:p>
          <w:p>
            <w:pPr>
              <w:spacing w:line="300" w:lineRule="exact"/>
              <w:jc w:val="left"/>
              <w:rPr>
                <w:rFonts w:ascii="方正书宋_GBK" w:eastAsia="方正书宋_GBK"/>
              </w:rPr>
            </w:pPr>
            <w:r>
              <w:rPr>
                <w:rFonts w:hint="eastAsia" w:ascii="方正书宋_GBK" w:eastAsia="方正书宋_GBK"/>
              </w:rPr>
              <w:t>项目的满意度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5" w:name="_Toc66377965"/>
      <w:r>
        <w:rPr>
          <w:rFonts w:hint="eastAsia" w:ascii="方正仿宋_GBK" w:eastAsia="方正仿宋_GBK"/>
          <w:b/>
          <w:sz w:val="28"/>
        </w:rPr>
        <w:t>44.农村集体土地所有权使用权调查项目经费绩效目标表</w:t>
      </w:r>
      <w:bookmarkEnd w:id="4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44、农村集体土地所有权使用权调查项目经费绩效目标表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1.通过此次依法确认农村集体土地所有权、农村集体建设用地使用权、农村宅基地使用权工作，确保我市农村集体及农民的合法权益得到依法保障，同时对我市耕地保护，一张图信息系统建设起到重要推进作用。</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集体占地使用权调查数量（宗）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范围内开展集体占地使用权调查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≥2170宗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宅基地土地使用权调查数量（宗）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开展集体宅基地土地使用权调查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≥102500宗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专家评审验收通过率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集体土地使用权调查覆盖率(%)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涉及调查范围的乡镇覆盖情况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提交成果时限（月）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专家评审验收后交付成果时间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地籍管理水平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做好土地确权登记等工作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受调查农民集体满意度(%)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受调查集体中满意和较满意的人数占全部调查人数的比率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6" w:name="_Toc66377966"/>
      <w:r>
        <w:rPr>
          <w:rFonts w:hint="eastAsia" w:ascii="方正仿宋_GBK" w:eastAsia="方正仿宋_GBK"/>
          <w:b/>
          <w:sz w:val="28"/>
        </w:rPr>
        <w:t>45.不动产登记平台升级及数据库提升项目经费绩效目标表</w:t>
      </w:r>
      <w:bookmarkEnd w:id="4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45、不动产登记平台升级及数据库提升项目经费绩效目标表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1.系统故障率降低1%以下，非正常停机率控制到10%以下，故障发生同期下降比率90%以上，打造运转流畅、便民高效的不动产登记服务体系，切实优化不动产营商环境。</w:t>
            </w:r>
          </w:p>
          <w:p>
            <w:pPr>
              <w:spacing w:line="300" w:lineRule="exact"/>
              <w:jc w:val="left"/>
              <w:rPr>
                <w:rFonts w:ascii="方正书宋_GBK" w:eastAsia="方正书宋_GBK"/>
              </w:rPr>
            </w:pPr>
            <w:r>
              <w:rPr>
                <w:rFonts w:hint="eastAsia" w:ascii="方正书宋_GBK" w:eastAsia="方正书宋_GBK"/>
              </w:rPr>
              <w:t>2.项目实施前后档案检索平均时间节省量比项目实施前档案检索平均时间节省70%以上，档案整理数据抄录差错控制在3%以下，以满足河北省自然资源厅汇交要求。更好的理清当事人不动产权属情况、提高登记准确性和权威性。</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整理房产电子卷宗（宗）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当年整理电子卷宗数量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≥57782宗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整理土地电子卷宗（宗）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当年整理电子卷宗数量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≥7218宗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升级系统数量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升级系统数量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48个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档案信息整理入库（平方公里）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数据库面积数量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≥801平方公里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测试用例通过率（%）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通过的测试用例占总测试用例的比率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办理业务压缩时间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一般登记、抵押登记业务办理时间全部压缩至5个工作日以内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≤5工作日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非正常停机率（%）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非正常停机次数占总停机次数的比率（反向指标）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档案整理数据抄录差错率（%）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原始数据抄录差错次数占抄录总次数的比率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&lt;3％</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系统故障率(％)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系统出故障时间占总运行时间的比率（反向指标）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准备阶段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2020年7月-2020年12月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实施阶段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2021年4月-2021年9月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&lt;6月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试运行阶段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2021年5月-2021年9月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验收阶段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2021年9月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≤178万元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档案检索时间节省率(％)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项目实施前后档案检索平均时间节省量与项目实施前档案检索平均时间的比率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故障降低率(％)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故障发生同期下降比率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系统使用者满意度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调查使用人员满意程度占总调查人数的比率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调查阅卷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7" w:name="_Toc66377967"/>
      <w:r>
        <w:rPr>
          <w:rFonts w:hint="eastAsia" w:ascii="方正仿宋_GBK" w:eastAsia="方正仿宋_GBK"/>
          <w:b/>
          <w:sz w:val="28"/>
        </w:rPr>
        <w:t>46.异地购买补充耕地指标款绩效目标表</w:t>
      </w:r>
      <w:bookmarkEnd w:id="4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46、异地购买补充耕地指标款绩效目标表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为有效保证我市重点项目的开工建设，在加大土地整治力度同时，通过外购占补指标的方式，按照“占一补一、占优补优”的原则，计划异地购买耕地指标333亩，积极筹措占补平衡指标，切实保障项目用地需求。</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异地购买补充耕地指标面积（亩）</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计划异地购买耕地指标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≥333亩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异地购买补充耕地指标耕地等别</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具体购买耕地等别</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&lt;12等别</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拨付时限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签订合同之日起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≤6000万元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补充耕地指标费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补充耕地指标费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18万元/亩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满足我市重点项目用地需求</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达到占一补一、占优补优目标，实现占补平衡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地块使用人员满意度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调查中满意度人数占全部调查人数的比率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8" w:name="_Toc66377968"/>
      <w:r>
        <w:rPr>
          <w:rFonts w:hint="eastAsia" w:ascii="方正仿宋_GBK" w:eastAsia="方正仿宋_GBK"/>
          <w:b/>
          <w:sz w:val="28"/>
        </w:rPr>
        <w:t>47.三调项目及监理经费绩效目标表</w:t>
      </w:r>
      <w:bookmarkEnd w:id="4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47、三调项目及监理经费绩效目标表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利用现有存量影像数据和最新的地籍调查、不动产登记成果，开展城市和建制镇内部土地利用的细化调查，提升国土资源管理精准化水平，促进国家治理体系和治理能力现代化，服务和支撑过敏经济和社会发展。</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国土勘测数据库（套）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经国家核定数据库</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验收合格数量占全部工作的比率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集体土地使用权调查覆盖率(%)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涉及调查范围的乡镇覆盖情况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成果提交验收时间（日）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第三方提交成果后我单位30日内对其成果组织验收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≤185.27万元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土地资源信息社会化服务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为社会提供更加基础、准确的土地信息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得到强化</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数据用户满意度(%)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调查中满意或者较满意的人数占调查人数总量的比率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9" w:name="_Toc66377969"/>
      <w:r>
        <w:rPr>
          <w:rFonts w:hint="eastAsia" w:ascii="方正仿宋_GBK" w:eastAsia="方正仿宋_GBK"/>
          <w:b/>
          <w:sz w:val="28"/>
        </w:rPr>
        <w:t>48.造林绿化奖补资金绩效目标表</w:t>
      </w:r>
      <w:bookmarkEnd w:id="4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48、造林绿化奖补资金绩效目标表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1.我单位聘请第三方验收公司对2018年度、2019年度规模造林情况进行验收，以每亩林木不低于40株、苗木规格不低于4厘米、成活率不低于85%为验收良好标准。</w:t>
            </w:r>
          </w:p>
          <w:p>
            <w:pPr>
              <w:spacing w:line="300" w:lineRule="exact"/>
              <w:jc w:val="left"/>
              <w:rPr>
                <w:rFonts w:ascii="方正书宋_GBK" w:eastAsia="方正书宋_GBK"/>
              </w:rPr>
            </w:pPr>
            <w:r>
              <w:rPr>
                <w:rFonts w:hint="eastAsia" w:ascii="方正书宋_GBK" w:eastAsia="方正书宋_GBK"/>
              </w:rPr>
              <w:t>2.通过该项目实施，可以及时发放项目奖补资金。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享受奖补面积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享受奖补资金的林地亩数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≥33411.12亩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享受奖补株数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享受奖补资金的苗木株数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≥6885株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验收苗木成活率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成活苗木株数占栽植苗木株数的百分比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验收合格后1个月内发放补贴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≤1个月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2019年度奖补资金预算控制数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2019年度奖补资金预算控制数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≤1781.09万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2020年度奖补资金预算控制数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2020年度奖补资金预算控制数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≤418.9万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整体绿化水平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整体绿化水平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撬动社会资本投入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通过此项目的实施,撬动社会资本对造林绿化的投入额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≥0.54亿元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享受补助对象满意度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民众对此项目的满意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0" w:name="_Toc66377970"/>
      <w:r>
        <w:rPr>
          <w:rFonts w:hint="eastAsia" w:ascii="方正仿宋_GBK" w:eastAsia="方正仿宋_GBK"/>
          <w:b/>
          <w:sz w:val="28"/>
        </w:rPr>
        <w:t>49.矿产资源规划（2021-2025年）编制项目经费绩效目标表</w:t>
      </w:r>
      <w:bookmarkEnd w:id="5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49、矿产资源规划（2021-2025年）编制项目经费绩效目标表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1.与《廊坊市矿产资源规划（2021－2025年）》衔接基础上，确保目标指标和任务落地，勘查开发准入条件和管理措施落地，明确各类规划分区、勘查开采规划区块空间边界。</w:t>
            </w:r>
          </w:p>
          <w:p>
            <w:pPr>
              <w:spacing w:line="300" w:lineRule="exact"/>
              <w:jc w:val="left"/>
              <w:rPr>
                <w:rFonts w:ascii="方正书宋_GBK" w:eastAsia="方正书宋_GBK"/>
              </w:rPr>
            </w:pPr>
            <w:r>
              <w:rPr>
                <w:rFonts w:hint="eastAsia" w:ascii="方正书宋_GBK" w:eastAsia="方正书宋_GBK"/>
              </w:rPr>
              <w:t>2.优化地热资源开发利用，为我市绿色能源发展的提供有力保障，为全市地热资源绿色发展提供合理布局</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附图编制完成数量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附图编制完成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附表编制完成数量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附表编制完成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报告编制完成数量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报告编制完成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数据库完成数量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数据库编制完成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编制说明完成数量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编制说明编制完成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验收通过数量占全部数量的比率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成果提交一个月内完成组织验收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≤1个月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矿产资源开发利用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优化矿产资源开发利用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得到优化</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报告使用者满意率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报告使用满意度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1" w:name="_Toc66377971"/>
      <w:r>
        <w:rPr>
          <w:rFonts w:hint="eastAsia" w:ascii="方正仿宋_GBK" w:eastAsia="方正仿宋_GBK"/>
          <w:b/>
          <w:sz w:val="28"/>
        </w:rPr>
        <w:t>50.机关运转经费绩效目标表</w:t>
      </w:r>
      <w:bookmarkEnd w:id="5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50、机关运转经费绩效目标表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1.做好报刊征订、法律顾问、物业费及其他日常工作，以满足工作正常运行，保障相关业务、工作的顺利开展。</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保障职工人数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保障我局职工420人正常办公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≥420人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单位日常工作</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保证工作正常运行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正常运行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物业费发放到位时间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每月按时发放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资金支出完成时间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预计完成资金支出时间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≤12月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报刊费成本控制数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报刊费成本控制数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≤14.5万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法律顾问成本控制数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法律顾问成本控制数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单位相关业务工作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保证工作正常运行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顺利开展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2" w:name="_Toc66377972"/>
      <w:r>
        <w:rPr>
          <w:rFonts w:hint="eastAsia" w:ascii="方正仿宋_GBK" w:eastAsia="方正仿宋_GBK"/>
          <w:b/>
          <w:sz w:val="28"/>
        </w:rPr>
        <w:t>51.牤牛河两侧重点片区城市设计经费绩效目标表</w:t>
      </w:r>
      <w:bookmarkEnd w:id="5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51、牤牛河两侧重点片区城市设计经费绩效目标表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1.打造城市人居特色为核心，着力于近期行动的安排，通过城市设计、近期行动计划等工作的开展，希望能够在短期内使牤牛河两岸的城市功能、形象及特色等方面得到较大提升。</w:t>
            </w:r>
          </w:p>
          <w:p>
            <w:pPr>
              <w:spacing w:line="300" w:lineRule="exact"/>
              <w:jc w:val="left"/>
              <w:rPr>
                <w:rFonts w:ascii="方正书宋_GBK" w:eastAsia="方正书宋_GBK"/>
              </w:rPr>
            </w:pPr>
            <w:r>
              <w:rPr>
                <w:rFonts w:hint="eastAsia" w:ascii="方正书宋_GBK" w:eastAsia="方正书宋_GBK"/>
              </w:rPr>
              <w:t>2.《霸州市牤牛河重点片区城市设计》覆盖沿牤牛河两岸每侧500米-600米的范围，结合现状道路和用地，划定规划范围约11.5平方公里（其中河道面积约1平方公里，建设用地面积约10.5平方公里）。在现状空地及现状村庄等建筑风貌较差区域选取需要重点提升的面积约5平方公里。</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划定规划范围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划定规划范围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≥11.5平方公里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重点提升的面积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重点提升的面积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专家通过评审率（%）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专家评审通过数量占全部上报数量的比率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初稿完成时间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初稿完成时间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≤9月份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成果验收时间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≤12月份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≤190万元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规划执行数占编制规划总数的比率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城市功能、形象及特色</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牤牛河两岸的城市功能、形象及特色</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3" w:name="_Toc66377973"/>
      <w:r>
        <w:rPr>
          <w:rFonts w:hint="eastAsia" w:ascii="方正仿宋_GBK" w:eastAsia="方正仿宋_GBK"/>
          <w:b/>
          <w:sz w:val="28"/>
        </w:rPr>
        <w:t>52.不动产证书证明采购项目经费绩效目标表</w:t>
      </w:r>
      <w:bookmarkEnd w:id="5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52、不动产证书证明采购项目经费绩效目标表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1.购买证书4.6万本、证明4万本，满足全年登记工作需求,保障登记发证的及时性，及时满足群众登记需求。</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不动产权证书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购买不动产权证书数量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4.6万本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不动产权证明</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购买不动产权证明数量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4万本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证书、证明合格率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合格证书、证明占全部证书、证明的比率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完成采购时间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完成证书证明采购时间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不动产权证书采购单位成本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每本不动产权证书的成本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≤0.6元/本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不动产证明采购单位成本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每本不动产证明的成本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≤3.58元/本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群众登记发证需求</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是否满足群众登记发证的需求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得到满足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调查满意人数占全部调查人数的比率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4" w:name="_Toc66377974"/>
      <w:r>
        <w:rPr>
          <w:rFonts w:hint="eastAsia" w:ascii="方正仿宋_GBK" w:eastAsia="方正仿宋_GBK"/>
          <w:b/>
          <w:sz w:val="28"/>
        </w:rPr>
        <w:t>53.京雄高铁廊道绿化工程规划设计经费绩效目标表</w:t>
      </w:r>
      <w:bookmarkEnd w:id="5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53、京雄高铁廊道绿化工程规划设计经费绩效目标表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1.按照《关于印发京雄京张高铁生态廊道绿化实施方的通知》方案要求，对我京雄高铁我市辖区内廊道进行绿化设计</w:t>
            </w:r>
          </w:p>
          <w:p>
            <w:pPr>
              <w:spacing w:line="300" w:lineRule="exact"/>
              <w:jc w:val="left"/>
              <w:rPr>
                <w:rFonts w:ascii="方正书宋_GBK" w:eastAsia="方正书宋_GBK"/>
              </w:rPr>
            </w:pPr>
            <w:r>
              <w:rPr>
                <w:rFonts w:hint="eastAsia" w:ascii="方正书宋_GBK" w:eastAsia="方正书宋_GBK"/>
              </w:rPr>
              <w:t>2.根据设计方案，对我市京雄高铁两侧进行绿化，打造“开合有致，层次分明，色彩丰富，季相多变”的高标准生态廊道。</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设计面积（亩）</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高铁两侧8800亩全部进行绿化设计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≥8000亩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方案设计可实施性面积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自合同签订之日起，30内提交方案设计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≤87万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提高城市廊道绿化水平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提高城市廊道绿化水平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效果显著</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生产的生态效益价值</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通过此项目的实施，建成的森林产生的生态效益总价值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≥0.5亿元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施工主体满意度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施工主体对方案设计的满意度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5" w:name="_Toc66377975"/>
      <w:r>
        <w:rPr>
          <w:rFonts w:hint="eastAsia" w:ascii="方正仿宋_GBK" w:eastAsia="方正仿宋_GBK"/>
          <w:b/>
          <w:sz w:val="28"/>
        </w:rPr>
        <w:t>54.森林城市建设总体规划编制经费绩效目标表</w:t>
      </w:r>
      <w:bookmarkEnd w:id="5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54、森林城市建设总体规划编制经费绩效目标表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1.编制霸州市10年森林城市建设总体规划，对霸州市未来10年林业发展的原则和理念、建设目标和具体指标、发展定位和总体布局等方面做出具有可操作性的详尽规划，达到创建省级森林城市的要求。</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霸州市全域</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≥120万亩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霸州市2020年至2030年森林城市建设规划</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规划编制数量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规划编制数量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验收通过的数量占全体提交结果的比率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规划编制用时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工期共90天，40天内提交规划初稿，50天内完成规划的商讨修改、征求意见、专家论证、公示等环节</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项目采购时间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提升全市绿化覆盖率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提高的绿化覆盖面积占总面积的比率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≥0.32%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上级主管部门满意度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上级主管部门对项目成果的满意度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随机调查民众对此项目的满意程度，满意的人数占调查总人数的百分比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6" w:name="_Toc66377976"/>
      <w:r>
        <w:rPr>
          <w:rFonts w:hint="eastAsia" w:ascii="方正仿宋_GBK" w:eastAsia="方正仿宋_GBK"/>
          <w:b/>
          <w:sz w:val="28"/>
        </w:rPr>
        <w:t>55.土地利用总体规划修改工作经费绩效目标表</w:t>
      </w:r>
      <w:bookmarkEnd w:id="5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55、土地利用总体规划修改工作经费绩效目标表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1.对全县土地利用总体规划实施评估，设计后功能实现可达到100%。</w:t>
            </w:r>
          </w:p>
          <w:p>
            <w:pPr>
              <w:spacing w:line="300" w:lineRule="exact"/>
              <w:jc w:val="left"/>
              <w:rPr>
                <w:rFonts w:ascii="方正书宋_GBK" w:eastAsia="方正书宋_GBK"/>
              </w:rPr>
            </w:pPr>
            <w:r>
              <w:rPr>
                <w:rFonts w:hint="eastAsia" w:ascii="方正书宋_GBK" w:eastAsia="方正书宋_GBK"/>
              </w:rPr>
              <w:t>2.完成6套满足国家及省市要求的成果</w:t>
            </w:r>
          </w:p>
          <w:p>
            <w:pPr>
              <w:spacing w:line="300" w:lineRule="exact"/>
              <w:jc w:val="left"/>
              <w:rPr>
                <w:rFonts w:ascii="方正书宋_GBK" w:eastAsia="方正书宋_GBK"/>
              </w:rPr>
            </w:pPr>
            <w:r>
              <w:rPr>
                <w:rFonts w:hint="eastAsia" w:ascii="方正书宋_GBK" w:eastAsia="方正书宋_GBK"/>
              </w:rPr>
              <w:t>3.自取得省政府批复之日起一个月内完成</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调研乡镇数量（个）</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调研乡镇数量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15个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提交成果数量（套）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提交成果数量满足国家及省市要求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专家通过的成果数量占全部提交成果数量的比率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成果出具时间（月）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自取得市政府批复之日起一个月内完成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不超过预算资金额（万）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根据预算申报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≤25万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修改后的土地利用总体规划执行数占总数的比率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规划修改涉及群众满意和较满意的人数占全部调查人数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7" w:name="_Toc66377977"/>
      <w:r>
        <w:rPr>
          <w:rFonts w:hint="eastAsia" w:ascii="方正仿宋_GBK" w:eastAsia="方正仿宋_GBK"/>
          <w:b/>
          <w:sz w:val="28"/>
        </w:rPr>
        <w:t>56.编制东部新城控制性详细规划资金绩效目标表</w:t>
      </w:r>
      <w:bookmarkEnd w:id="5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56、编制东部新城控制性详细规划资金绩效目标表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霸州市康仙庄镇总体规划（2018-2030年）》于2019年批复实施，其中东部新城为重点发展区域之一，进行下一阶段的控制性详细规划编制有利于该地区项目的加速落地。项目计划编制霸州市东部新城控制性详细规划，将规划控制要点用简练、明确的方式表达出来，项目成果奖作为控制土地批租、出让的依据，正确引导开发行为。通过此项目的实施，实现规划目标，并且通过对开发建设的控制，使土地开发的综合效益最大化。</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≥943公顷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完成规划编制成果数量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完成规划编制文本成果的数量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通过专家评审的数量占全部提交数量的比率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成果报批完成时间(月)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通过专家评审的完成时间</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地区建设项目落地进程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地区建设项目落地进程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加速推进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承接目标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承接京雄科创成果和智力资源产业化的目标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规划使用部门满意度（%）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受益部门对报告的满意度的占比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8" w:name="_Toc66377978"/>
      <w:r>
        <w:rPr>
          <w:rFonts w:hint="eastAsia" w:ascii="方正仿宋_GBK" w:eastAsia="方正仿宋_GBK"/>
          <w:b/>
          <w:sz w:val="28"/>
        </w:rPr>
        <w:t>57.统筹建设国土空间基础信息平台及“一张图”实施监督信息系统经费绩效目标表</w:t>
      </w:r>
      <w:bookmarkEnd w:id="5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57、统筹建设国土空间基础信息平台及\“一张图\”实施监督信息系统经费绩效目标表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1.完成国土空间基础信息平台和“一张图”实施监督信息系统建设招投标工作</w:t>
            </w:r>
          </w:p>
          <w:p>
            <w:pPr>
              <w:spacing w:line="300" w:lineRule="exact"/>
              <w:jc w:val="left"/>
              <w:rPr>
                <w:rFonts w:ascii="方正书宋_GBK" w:eastAsia="方正书宋_GBK"/>
              </w:rPr>
            </w:pPr>
            <w:r>
              <w:rPr>
                <w:rFonts w:hint="eastAsia" w:ascii="方正书宋_GBK" w:eastAsia="方正书宋_GBK"/>
              </w:rPr>
              <w:t>2.完成国土空间基础信息平台和“一张图”实施监督信息系统总体框架设计</w:t>
            </w:r>
          </w:p>
          <w:p>
            <w:pPr>
              <w:spacing w:line="300" w:lineRule="exact"/>
              <w:jc w:val="left"/>
              <w:rPr>
                <w:rFonts w:ascii="方正书宋_GBK" w:eastAsia="方正书宋_GBK"/>
              </w:rPr>
            </w:pPr>
            <w:r>
              <w:rPr>
                <w:rFonts w:hint="eastAsia" w:ascii="方正书宋_GBK" w:eastAsia="方正书宋_GBK"/>
              </w:rPr>
              <w:t>3.完成国土空间规划数据汇集处理和建立数据库规整入库</w:t>
            </w:r>
          </w:p>
          <w:p>
            <w:pPr>
              <w:spacing w:line="300" w:lineRule="exact"/>
              <w:jc w:val="left"/>
              <w:rPr>
                <w:rFonts w:ascii="方正书宋_GBK" w:eastAsia="方正书宋_GBK"/>
              </w:rPr>
            </w:pPr>
            <w:r>
              <w:rPr>
                <w:rFonts w:hint="eastAsia" w:ascii="方正书宋_GBK" w:eastAsia="方正书宋_GBK"/>
              </w:rPr>
              <w:t>4.提交1本数据标准规范文本，6本软件系统开发实施规范文本</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提交数据标准规范文本数量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国土空间规划数据入库整理及使用的数据规范文件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规范文本数量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软件系统开发设计及部署测试文件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≥6本</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通过专家评审的数量占全部数量的比率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验收成果时限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提交成果后通过验收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系统研发及部署费用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根据合同约定，支付系统研发及部署费用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≤189万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业务协同能力和信息化水平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提高业务协同能力，提高工作效率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政府管理部门满意度(%)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政府管理部门满意和较满意的人数占全部调查部门的比率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9" w:name="_Toc66377979"/>
      <w:r>
        <w:rPr>
          <w:rFonts w:hint="eastAsia" w:ascii="方正仿宋_GBK" w:eastAsia="方正仿宋_GBK"/>
          <w:b/>
          <w:sz w:val="28"/>
        </w:rPr>
        <w:t>58.关于提前下达2021年土地整治专项资金的通知（冀财资环[2020]107号）绩效目标表</w:t>
      </w:r>
      <w:bookmarkEnd w:id="5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58、关于提前下达2021年土地整治专项资金的通知（冀财资环[2020]107号）绩效目标表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1.根据《河北省财政厅 河北省自然资源厅关于提前下达2021年土地整治专项资金的通知》，开展本项目。落实了河北省《省级“多规合一”村庄试点规划工作方案》的要求，衔接《霸州市国土空间总体规划》中农村居民点布局的要求，解决霸州市南孟镇东坨村、西坨村两个村庄土地不节约，缺少产业主导的问题，确保提升村庄人居环境品质、促进农民增收等目标的达成。</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规划编制数量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完成规划编制数量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通过专家评审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提交成果数量占通过专家评审数量的比率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编制完成时限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自签订合同之日起6个月内完成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≤25万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提升乡村产业规划</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乡村产业规划合理布局</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得到完善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提高公共服务设施规划布局</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村庄人居环境品质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完善市政基础设施规划</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市政基础设施规划布局</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得到优化</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0" w:name="_Toc66377980"/>
      <w:r>
        <w:rPr>
          <w:rFonts w:hint="eastAsia" w:ascii="方正仿宋_GBK" w:eastAsia="方正仿宋_GBK"/>
          <w:b/>
          <w:sz w:val="28"/>
        </w:rPr>
        <w:t>59.土地整治规划（2011-2020年）修改调整工作经费绩效目标表</w:t>
      </w:r>
      <w:bookmarkEnd w:id="6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59、土地整治规划（2011-2020年）修改调整工作经费绩效目标表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1.对全市土地整治规划实施评估，设计后功能实现可达到100%。自取得省政府批复之日起一个月内完成,完成6套满足国家及省市要求的成果.</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提交成果数量（套）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提交成果数量满足国家及省市要求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专家通过的成果数量占全部提交成果数量的比率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项目完成时间（月）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自取得市政府批复之日起一个月内完成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≤18万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土地资源可持续利用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土地资源可持续利用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有效促进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土地整治项目执行数占开展土地整治项目总数的比率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成果持续发挥作用年限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成果持续发挥作用年限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规划使用部门满意度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1" w:name="_Toc66377981"/>
      <w:r>
        <w:rPr>
          <w:rFonts w:hint="eastAsia" w:ascii="方正仿宋_GBK" w:eastAsia="方正仿宋_GBK"/>
          <w:b/>
          <w:sz w:val="28"/>
        </w:rPr>
        <w:t>60.村庄规划编制经费（2019年）★绩效目标表</w:t>
      </w:r>
      <w:bookmarkEnd w:id="6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60、村庄规划编制经费（2019年）★绩效目标表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1.按照《2019年农村人居环境整治行动的实施方案》和《高铁高速沿线环境集中整治专项行动实施方案》要求，按照简化、实用的原则，完成村庄的实用性规划。规划成果采取专家评审的方式进行验收。</w:t>
            </w:r>
          </w:p>
          <w:p>
            <w:pPr>
              <w:spacing w:line="300" w:lineRule="exact"/>
              <w:jc w:val="left"/>
              <w:rPr>
                <w:rFonts w:ascii="方正书宋_GBK" w:eastAsia="方正书宋_GBK"/>
              </w:rPr>
            </w:pPr>
            <w:r>
              <w:rPr>
                <w:rFonts w:hint="eastAsia" w:ascii="方正书宋_GBK" w:eastAsia="方正书宋_GBK"/>
              </w:rPr>
              <w:t>2.实现乡村建设规划编制全覆盖，突出地域特色，注重田园风光、自然景观、建筑风格和文化保护等风貌控制。最终形成简体中文、纸质版成果8套，及相应的电子版成果。</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提交文本成果数量（套）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简体中文、纸质版最终成果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xml:space="preserve"> 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提交电子成果数量（套）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电子版成果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专家评审验收通过率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提交成果时限（天）</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通过专家评审后交付成果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≤60天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≤180.93万元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规划执行数占编制规划总数的比率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全市农村人居环境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全市农村人居环境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明显改观</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上级主管部门满意度(%)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2" w:name="_Toc66377982"/>
      <w:r>
        <w:rPr>
          <w:rFonts w:hint="eastAsia" w:ascii="方正仿宋_GBK" w:eastAsia="方正仿宋_GBK"/>
          <w:b/>
          <w:sz w:val="28"/>
        </w:rPr>
        <w:t>61.选择项目规划方案第三方技术服务项目经费绩效目标表</w:t>
      </w:r>
      <w:bookmarkEnd w:id="6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61、选择项目规划方案第三方技术服务项目经费绩效目标表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对2021年度申报的建设项目总平面图及修建性详细规划项目的规划设计方案从项目总建筑面积、计容建筑面积、容积率、建筑密度、绿地率、建筑间距、建筑退让、用地界限、建筑高度、停车泊位、公服配套面积等进行核查。严格依据国家的各项规范及规划设计条件，应做到100%对应。</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每个项目出具报告数量（个）</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对规划设计方案进行技术指导后出具核查报告书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每个项目出具承诺书数量（个）</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对技术复核报告出具承诺书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审核数据准确率（%）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审核数据准确量占应审核数据的比率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审核工作完成率（%）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审核工作完成件数占全年应审核工作件数的比率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中标单位出具核查报告书时间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我局提交规划方案资料齐全后7日内出具核查报告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≤195万元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规划服务单价</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规划服务单价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≤0.75元/平方米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经核查规划实现率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规划后实现的数量占全部规划数量的比率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项目单位满意度（%）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对报审项目技术指导、审查效率做评价</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3" w:name="_Toc66377983"/>
      <w:r>
        <w:rPr>
          <w:rFonts w:hint="eastAsia" w:ascii="方正仿宋_GBK" w:eastAsia="方正仿宋_GBK"/>
          <w:b/>
          <w:sz w:val="28"/>
        </w:rPr>
        <w:t>62.城乡总体规划编制经费（2018-2035年）★绩效目标表</w:t>
      </w:r>
      <w:bookmarkEnd w:id="6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62、城乡总体规划编制经费（2018-2035年）★绩效目标表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按照《霸州市国土空间规划编制工作方案》和雄安新区的发展理念和总体要求，为统筹协调廊坊市全域“1+8”城镇体系，主动融入京津冀协同发展格局，开展编制《霸州市城乡总体规划（2018-2035年）》工作。通过项目实施，科学指导霸州市城乡建设，强化城镇建设与规划，进一步统筹城乡发展,保护、管控和高效配置市域空间资源，构建特色鲜明的城市形象与景观风貌格局，塑造以人为本，舒适宜居的城市空间。</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提交文本成果数量（套）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规划文本、图册、说明书及基础资料汇编等附件（盖章成果）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提交图纸成果数量（套）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规划图纸</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提交电子成果数量（套）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规划成果电子文件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专家评审验收通过率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提交成果时限（月）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省政府批复后交付成果时间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≤276万元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设计功能实现率(%)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规划执行数占编制规划总数的比率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城镇战略布局</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城镇战略布局情况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得到优化</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成果持续发挥作用年限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成果持续发挥作用年限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≥18年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4" w:name="_Toc66377984"/>
      <w:r>
        <w:rPr>
          <w:rFonts w:hint="eastAsia" w:ascii="方正仿宋_GBK" w:eastAsia="方正仿宋_GBK"/>
          <w:b/>
          <w:sz w:val="28"/>
        </w:rPr>
        <w:t>63.永久基本农田整改补划经费绩效目标表</w:t>
      </w:r>
      <w:bookmarkEnd w:id="6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63、永久基本农田整改补划经费绩效目标表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通过梳理永久基本农田划定情况（划定面积、地类情况、坡度情况、质量情况），分析永久基本农田核实情况（工作措施、核实总体情况、问题分类），并提出问题处置意见，优化城市用地结构布局，完善全市永久基本农田分布情况。</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储备区报告、数据库成果（套）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永久基本农田储备区划定报告及数据库成果1套</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整改补划报告、数据库（套）</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永久基本农田整改补划报告、数据库1套</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成果通过国家、省级质检验收的比例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平台上传审核通过率（%）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国土云上传资料审核通数量占全部确认上传数量的比例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提交成果之后30日内进行履约验收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≤30日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永久基本农田储备区工作费用总额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永久基本农田储备区工作费用总额低于预算额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≤49.75万元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重点建设项目补划完成率（%）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完成重点建设项目占用永久基本农田调整补划工作占全部需调整补划任务的比率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永久基本农田分布与用地结构</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是否优化永久基本农田分布与用地结构</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优化完善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规划期内永久基本农田划定总面积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持续保障规划期内永久基本农田划定总面积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稳定保障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划定指标任务率（%）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完成划定永久基本农田面积占上级下达指标任务比率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满意人数占调查总人数的比例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5" w:name="_Toc66377985"/>
      <w:r>
        <w:rPr>
          <w:rFonts w:hint="eastAsia" w:ascii="方正仿宋_GBK" w:eastAsia="方正仿宋_GBK"/>
          <w:b/>
          <w:sz w:val="28"/>
        </w:rPr>
        <w:t>64.供地计划编制经费绩效目标表</w:t>
      </w:r>
      <w:bookmarkEnd w:id="6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64、供地计划编制经费绩效目标表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1.通过项目的开展完成建设用地供应计划，实现对建设用地供应的总量、结构、布局、时序和方式做出的科学安排。</w:t>
            </w:r>
          </w:p>
          <w:p>
            <w:pPr>
              <w:spacing w:line="300" w:lineRule="exact"/>
              <w:jc w:val="left"/>
              <w:rPr>
                <w:rFonts w:ascii="方正书宋_GBK" w:eastAsia="方正书宋_GBK"/>
              </w:rPr>
            </w:pPr>
            <w:r>
              <w:rPr>
                <w:rFonts w:hint="eastAsia" w:ascii="方正书宋_GBK" w:eastAsia="方正书宋_GBK"/>
              </w:rPr>
              <w:t>2.项目完成后提交霸州市2021年度建设用地供应计划文本及编制说明成果2套。</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提交的项目成果数量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建设用地供应计划编制说明和计划文本数量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国土资源部关于印发《国有建设用地供应计划编制规范》（试行）通知（国土资发〔2010〕11号）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专家评审通过率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项目成果专家评审情况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成果出具时间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成果按规定时间上报土地市场动态监测与监管系统</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&lt;4月份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项目总成本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合同价低于财政预算</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土地供应合理性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提高土地供应时序和结构的科学性、针对性、合理性程度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合理</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持续时长</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供应计划持续发挥作用的年限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成果应用单位满意度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自然资源主管部门是否能快速准确了解地块是否在年度供应计划中</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6" w:name="_Toc66377986"/>
      <w:r>
        <w:rPr>
          <w:rFonts w:hint="eastAsia" w:ascii="方正仿宋_GBK" w:eastAsia="方正仿宋_GBK"/>
          <w:b/>
          <w:sz w:val="28"/>
        </w:rPr>
        <w:t>65.国有土地出让业务费支出经费绩效目标表</w:t>
      </w:r>
      <w:bookmarkEnd w:id="6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65、国有土地出让业务费支出经费绩效目标表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1.满足单位正常运行，保障相关业务、工作的顺利开展。</w:t>
            </w:r>
          </w:p>
          <w:p>
            <w:pPr>
              <w:spacing w:line="300" w:lineRule="exact"/>
              <w:jc w:val="left"/>
              <w:rPr>
                <w:rFonts w:ascii="方正书宋_GBK" w:eastAsia="方正书宋_GBK"/>
              </w:rPr>
            </w:pPr>
            <w:r>
              <w:rPr>
                <w:rFonts w:hint="eastAsia" w:ascii="方正书宋_GBK" w:eastAsia="方正书宋_GBK"/>
              </w:rPr>
              <w:t>2.所有设备在后续使用中的保存完好，基础设施完好率为90%。</w:t>
            </w:r>
          </w:p>
          <w:p>
            <w:pPr>
              <w:spacing w:line="300" w:lineRule="exact"/>
              <w:jc w:val="left"/>
              <w:rPr>
                <w:rFonts w:ascii="方正书宋_GBK" w:eastAsia="方正书宋_GBK"/>
              </w:rPr>
            </w:pPr>
            <w:r>
              <w:rPr>
                <w:rFonts w:hint="eastAsia" w:ascii="方正书宋_GBK" w:eastAsia="方正书宋_GBK"/>
              </w:rPr>
              <w:t>3.购买的办公设备均需经过政府采购率达到95%。并保证购买设备在后续使用中的保存完好，基础设施完好率为90%。</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完成项目数量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完成项目数量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政府采购率（%）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实际政府采购数量占实施政府采购数量的比率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政府采购时间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政府采购月份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≤7月份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采购资金节约率（%）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实际采购资金额和计划采购资金额的差与计划采购资金额的比率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业务工作开展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保障相关业务、工作的顺利开展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得到保障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有关部门满意度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有关部门满意数量占总数的比例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7" w:name="_Toc66377987"/>
      <w:r>
        <w:rPr>
          <w:rFonts w:hint="eastAsia" w:ascii="方正仿宋_GBK" w:eastAsia="方正仿宋_GBK"/>
          <w:b/>
          <w:sz w:val="28"/>
        </w:rPr>
        <w:t>66.全市界址坐标不详建设用地项目经费绩效目标表</w:t>
      </w:r>
      <w:bookmarkEnd w:id="6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66、全市界址坐标不详建设用地项目经费绩效目标表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1.2020年底完成总任务的30%-40%，对档案信息相对齐全的；对村街反馈指界准确的；对通过数据库查找可以确定位置的要列入先期权籍调查目标。</w:t>
            </w:r>
          </w:p>
          <w:p>
            <w:pPr>
              <w:spacing w:line="300" w:lineRule="exact"/>
              <w:jc w:val="left"/>
              <w:rPr>
                <w:rFonts w:ascii="方正书宋_GBK" w:eastAsia="方正书宋_GBK"/>
              </w:rPr>
            </w:pPr>
            <w:r>
              <w:rPr>
                <w:rFonts w:hint="eastAsia" w:ascii="方正书宋_GBK" w:eastAsia="方正书宋_GBK"/>
              </w:rPr>
              <w:t>2.2021年底完成总任务的80%以上，达到省厅要求的存量建设用地入库汇交率80%。</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成果报告数量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项目形成的成果报告数量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116宗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地籍调查规程TD/T1001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图件成果数量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项目形成的图件成果数量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116幅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地籍调查规程TD/T1001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表格成果数量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项目形成的表格成果数量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116个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地籍调查规程TD/T1001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验收合格的数量占全部提交数量的比率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提交成果后一个月内组织验收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≤63.13万元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调查数据有效利用率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存量数据整合到不动产数据库，提高数据库宗地信息完整率，保障不动产登记顺利开展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冀国土资办发【（2017）52号】文件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群众及上级部门满意度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调查结果及问卷调查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8" w:name="_Toc66377988"/>
      <w:r>
        <w:rPr>
          <w:rFonts w:hint="eastAsia" w:ascii="方正仿宋_GBK" w:eastAsia="方正仿宋_GBK"/>
          <w:b/>
          <w:sz w:val="28"/>
        </w:rPr>
        <w:t>67.地下管线普查监理二期项目经费★绩效目标表</w:t>
      </w:r>
      <w:bookmarkEnd w:id="6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67、地下管线普查监理二期项目经费★绩效目标表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结合霸州市地下管线信息化建设具体情况，实现霸州地下管线信息计算机化、网络管理化。对霸州市管线普查工程的全过程实施质量监理，实现霸州市地下管线管理信息化、决策科学化、监管规范化。为霸州市规划、建设、管理提供地下管线信息资源和技术平台，为社会提供多元化服务。</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管线网络化完成率（%）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实际实现网络化管理的管线占计划的比率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管线监理完成率（%）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实际实施监理的管线占计划的比率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验收通过的项目数量占全部数量的比率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管线网络化管理完成时间（月）</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管线网络化管理实际完成时间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为企业补助展位费情况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≤3.57万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数据的准确性和完整性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通过全过程监理检验普查数据成果的准确性和完整性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城市地下管线建设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为城市地下管线规划、建设、管理和城市建设提供依据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得到保障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地下管线管理部门满意度（%）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地下管线管理部门调查中，满意和较满意的人数占全部调查人数的比率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管线普查数据使用者满意度（%）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管线普查数据使用者调查中，满意和较满意的人数占全部调查人数的比率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9" w:name="_Toc66377989"/>
      <w:r>
        <w:rPr>
          <w:rFonts w:hint="eastAsia" w:ascii="方正仿宋_GBK" w:eastAsia="方正仿宋_GBK"/>
          <w:b/>
          <w:sz w:val="28"/>
        </w:rPr>
        <w:t>68.国有建设用地使用权出让公告经费绩效目标表</w:t>
      </w:r>
      <w:bookmarkEnd w:id="6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68、国有建设用地使用权出让公告经费绩效目标表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813001霸州市自然资源和规划局本级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1.根据2021年土地供应计划，在中国土地市场网、自然资源报、河北公共资源交易平台等网络报刊上100%完成国有建设用地使用权出让公告的发布。</w:t>
            </w:r>
          </w:p>
          <w:p>
            <w:pPr>
              <w:spacing w:line="300" w:lineRule="exact"/>
              <w:jc w:val="left"/>
              <w:rPr>
                <w:rFonts w:ascii="方正书宋_GBK" w:eastAsia="方正书宋_GBK"/>
              </w:rPr>
            </w:pPr>
            <w:r>
              <w:rPr>
                <w:rFonts w:hint="eastAsia" w:ascii="方正书宋_GBK" w:eastAsia="方正书宋_GBK"/>
              </w:rPr>
              <w:t>2.保障公告费用及时足额拨付。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播发稿件数量（篇）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稿件数量在媒体播发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编发信息刊物数量（期）</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当年编发信息刊物的数量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公告内容准确率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公告数据正确、文字无错误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发布公告日期</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约定日期及时发布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≤0.5天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≤25万元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土地资源配置优化</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土地资源配置优化</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效果显著</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土地使用权竞买方满意度（%）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rPr>
          <w:rFonts w:ascii="仿宋_GB2312" w:hAnsi="黑体" w:eastAsia="仿宋_GB2312" w:cs="Times New Roman"/>
          <w:color w:val="000000" w:themeColor="text1"/>
          <w:sz w:val="32"/>
          <w:szCs w:val="32"/>
        </w:rPr>
      </w:pPr>
    </w:p>
    <w:p>
      <w:pPr>
        <w:ind w:firstLine="640" w:firstLineChars="200"/>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六、政府采购预算情况</w:t>
      </w:r>
    </w:p>
    <w:p>
      <w:pPr>
        <w:ind w:firstLine="640" w:firstLineChars="200"/>
        <w:rPr>
          <w:rFonts w:ascii="仿宋_GB2312" w:hAnsi="Times New Roman" w:eastAsia="仿宋_GB2312" w:cs="Times New Roman"/>
          <w:color w:val="000000" w:themeColor="text1"/>
          <w:sz w:val="32"/>
          <w:szCs w:val="32"/>
        </w:rPr>
      </w:pPr>
      <w:bookmarkStart w:id="70" w:name="_Toc471398468"/>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rPr>
        <w:t>1年，我部门安排政府采购预算</w:t>
      </w:r>
      <w:r>
        <w:rPr>
          <w:rFonts w:ascii="仿宋_GB2312" w:hAnsi="Times New Roman" w:eastAsia="仿宋_GB2312" w:cs="Times New Roman"/>
          <w:color w:val="000000" w:themeColor="text1"/>
          <w:sz w:val="32"/>
          <w:szCs w:val="32"/>
        </w:rPr>
        <w:t>6254.22</w:t>
      </w:r>
      <w:r>
        <w:rPr>
          <w:rFonts w:hint="eastAsia" w:ascii="仿宋_GB2312" w:hAnsi="Times New Roman" w:eastAsia="仿宋_GB2312" w:cs="Times New Roman"/>
          <w:color w:val="000000" w:themeColor="text1"/>
          <w:sz w:val="32"/>
          <w:szCs w:val="32"/>
        </w:rPr>
        <w:t>万元。具体内容见下表。</w:t>
      </w:r>
    </w:p>
    <w:bookmarkEnd w:id="70"/>
    <w:p>
      <w:pPr>
        <w:jc w:val="center"/>
        <w:outlineLvl w:val="1"/>
        <w:rPr>
          <w:rFonts w:ascii="Times New Roman" w:hAnsi="宋体" w:eastAsia="宋体"/>
          <w:sz w:val="32"/>
        </w:rPr>
      </w:pPr>
      <w:bookmarkStart w:id="71" w:name="_Toc65601721"/>
      <w:r>
        <w:rPr>
          <w:rFonts w:hint="eastAsia" w:ascii="方正小标宋_GBK" w:eastAsia="方正小标宋_GBK"/>
          <w:sz w:val="32"/>
        </w:rPr>
        <w:t>部门政府采购预算</w:t>
      </w:r>
      <w:bookmarkEnd w:id="71"/>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813霸州市自然资源和规划局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6254.22</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2172.22</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4082.00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霸州市自然资源和规划局本级小计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6254.22</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2172.22</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4082.00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732.53</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21.70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21.70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分局运行经费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39.11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39.11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39.11</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法律咨询服务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C080102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资产及其他评估服务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广播电视传输服务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C200205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4.90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网络使用维护及办公设备购置经费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服务器</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网络使用维护及办公设备购置经费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网络使用维护及办公设备购置经费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其他终端设备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A02010499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网络使用维护及办公设备购置经费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扫描仪</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A0201060901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网络使用维护及办公设备购置经费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其他计算机软件</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A02010899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7.90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网络使用维护及办公设备购置经费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网络使用维护及办公设备购置经费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网络使用维护及办公设备购置经费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网络使用维护及办公设备购置经费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网络使用维护及办公设备购置经费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LED显示屏</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A020207</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网络使用维护及办公设备购置经费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其他办公设备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网络使用维护及办公设备购置经费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其他专用仪器仪表</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A033499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牤牛河两侧重点片区城市设计经费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霸州市地质灾害危险性区域评估项目资金★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140.10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资产及其他评估服务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140.10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霸州市建筑风貌设计经费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编制东部新城控制性详细规划资金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标定地价体系建设经费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不动产批量登记服务经费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不动产证书证明采购项目经费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18.86</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单证</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A080201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本</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18.86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18.86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18.86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城乡总体规划编制经费（</w:t>
            </w:r>
            <w:r>
              <w:rPr>
                <w:rFonts w:ascii="方正书宋_GBK" w:eastAsia="方正书宋_GBK"/>
              </w:rPr>
              <w:t>2018-2035年）</w:t>
            </w:r>
            <w:r>
              <w:rPr>
                <w:rFonts w:hint="eastAsia" w:ascii="宋体" w:hAnsi="宋体" w:eastAsia="宋体" w:cs="宋体"/>
              </w:rPr>
              <w:t>★</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276.00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创建省级森林城市宣传经费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其他林业服务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C210299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村庄规划编制经费（</w:t>
            </w:r>
            <w:r>
              <w:rPr>
                <w:rFonts w:ascii="方正书宋_GBK" w:eastAsia="方正书宋_GBK"/>
              </w:rPr>
              <w:t>2019年）</w:t>
            </w:r>
            <w:r>
              <w:rPr>
                <w:rFonts w:hint="eastAsia" w:ascii="宋体" w:hAnsi="宋体" w:eastAsia="宋体" w:cs="宋体"/>
              </w:rPr>
              <w:t>★</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180.93</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180.93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180.93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180.93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地热资源环境承载力评价项目经费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14.76</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14.76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14.76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14.76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地下管线普查监理二期项目经费★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3.57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耕地质量等别年度更新评价经费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18.40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供地计划编制经费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2021年省级林业改革发展补助资金的通知（冀财资环[2020]103号）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消防设备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A032501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座</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2021年省级林业改革发展补助资金的通知（冀财资环[2020]103号）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消防设备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A032501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2021年省级林业改革发展补助资金的通知（冀财资环[2020]103号）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其他资料</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A050299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2021年土地整治专项资金的通知（冀财资环[2020]107号）</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规划编制经费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736.00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736.00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736.00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736.00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国有建设用地使用权出让公告经费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国有土地变更调查项目经费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48.48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48.48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48.48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48.48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国有土地出让业务费支出经费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186.29</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186.29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186.29</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186.29</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集体建设用地和农用地基准地价制定经费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京雄高铁廊道绿化工程规划设计经费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87.00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87.00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87.00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87.00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开发区节约集约全面评价经费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149.45</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149.45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149.45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149.45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矿产资源规划（</w:t>
            </w:r>
            <w:r>
              <w:rPr>
                <w:rFonts w:ascii="方正书宋_GBK" w:eastAsia="方正书宋_GBK"/>
              </w:rPr>
              <w:t>2021-2025年）编制项目经费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林业有害生物防控资金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林业有害生物防治服务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C210204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林业植物检疫员换装经费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2.04</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其他被服装具</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A070399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农村集体土地所有权补充调查项目经费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89.00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89.00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89.00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农村集体土地所有权使用权调查项目经费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农村乱占耕地建房摸排技术服务经费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18.17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全民所有建设用地资源资产清查价值体系建设项目经费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7.42</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7.42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7.42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7.42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全市界址坐标不详建设用地项目经费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63.13</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63.13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63.13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63.13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三调项目及监理经费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185.27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185.27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185.27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185.27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森林城市建设总体规划编制经费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森林督查工作经费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其他林业服务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C210299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森林督查工作经费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18.25</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其他林业服务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C210299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森林植被恢复费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70.41</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其他林业服务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C210299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70.41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70.41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70.41</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市政工程规划技术购买第三方服务经费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数字霸州胜芳镇基础数据库制作经费★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244.16</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244.16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244.16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244.16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数字霸州胜芳镇基础数据库制作项目经费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38.24</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38.24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38.24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38.24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天津津西线霸州段线位及站址周边地区规划研究经费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统筹建设国土空间基础信息平台及“一张图”实施监督信息系统经费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189.00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189.00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189.00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统一确权登记项目经费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土地定级与基准地价评估经费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42.17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资产及其他评估服务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42.17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42.17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42.17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土地利用总体规划修改工作经费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土地评估测量经费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资产及其他评估服务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土地评估测量经费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530.00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测绘服务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C0904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280.00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280.00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280.00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土地占补平衡项目经费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248.50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其他工程准备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B0399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248.50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248.50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248.50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土地整治规划（</w:t>
            </w:r>
            <w:r>
              <w:rPr>
                <w:rFonts w:ascii="方正书宋_GBK" w:eastAsia="方正书宋_GBK"/>
              </w:rPr>
              <w:t>2011-2020年）修改调整工作经费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无人机低空遥感技术国土巡查项目经费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16.65</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16.65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16.65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16.65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选择项目规划方案第三方技术服务项目经费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益津城区交通整治规划编制经费★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204.75</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204.75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204.75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204.75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益津城区停车设施专项规划（</w:t>
            </w:r>
            <w:r>
              <w:rPr>
                <w:rFonts w:ascii="方正书宋_GBK" w:eastAsia="方正书宋_GBK"/>
              </w:rPr>
              <w:t>2019-2035年）编制工作经费</w:t>
            </w:r>
            <w:r>
              <w:rPr>
                <w:rFonts w:hint="eastAsia" w:ascii="宋体" w:hAnsi="宋体" w:eastAsia="宋体" w:cs="宋体"/>
              </w:rPr>
              <w:t>★</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益津南部老城城市设计项目资金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城市规划和设计服务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永久基本农田整改补划经费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49.75</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49.75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49.75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49.75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造林绿化工程检查验收经费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19.30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其他林业服务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C210299</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造林绿化工程检查验收资金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其他林业服务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C210299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宅基地和集体建设用地使用权确权登记颁证项目经费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371.96</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其他房地产服务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371.96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371.96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371.96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霸州市自然资源和规划局上年末固定资产金额为6446.364852万元（详见下表）。本年度各单位（处室）拟购置固定资产总额</w:t>
      </w:r>
      <w:r>
        <w:rPr>
          <w:rFonts w:ascii="仿宋_GB2312" w:hAnsi="黑体" w:eastAsia="仿宋_GB2312" w:cs="Times New Roman"/>
          <w:color w:val="000000" w:themeColor="text1"/>
          <w:sz w:val="32"/>
          <w:szCs w:val="32"/>
        </w:rPr>
        <w:t>为</w:t>
      </w:r>
      <w:r>
        <w:rPr>
          <w:rFonts w:hint="eastAsia" w:ascii="仿宋_GB2312" w:hAnsi="黑体" w:eastAsia="仿宋_GB2312" w:cs="Times New Roman"/>
          <w:color w:val="000000" w:themeColor="text1"/>
          <w:sz w:val="32"/>
          <w:szCs w:val="32"/>
        </w:rPr>
        <w:t>109</w:t>
      </w:r>
      <w:r>
        <w:rPr>
          <w:rFonts w:ascii="仿宋_GB2312" w:hAnsi="黑体" w:eastAsia="仿宋_GB2312" w:cs="Times New Roman"/>
          <w:color w:val="000000" w:themeColor="text1"/>
          <w:sz w:val="32"/>
          <w:szCs w:val="32"/>
        </w:rPr>
        <w:t>万元</w:t>
      </w:r>
      <w:r>
        <w:rPr>
          <w:rFonts w:hint="eastAsia" w:ascii="仿宋_GB2312" w:hAnsi="黑体" w:eastAsia="仿宋_GB2312" w:cs="Times New Roman"/>
          <w:color w:val="000000" w:themeColor="text1"/>
          <w:sz w:val="32"/>
          <w:szCs w:val="32"/>
        </w:rPr>
        <w:t>，主要为计算机设备、打印设备、办公家具等，已列入政府采购预算，详见政府采购</w:t>
      </w:r>
      <w:r>
        <w:rPr>
          <w:rFonts w:ascii="仿宋_GB2312" w:hAnsi="黑体" w:eastAsia="仿宋_GB2312" w:cs="Times New Roman"/>
          <w:color w:val="000000" w:themeColor="text1"/>
          <w:sz w:val="32"/>
          <w:szCs w:val="32"/>
        </w:rPr>
        <w:t>预算表</w:t>
      </w:r>
      <w:r>
        <w:rPr>
          <w:rFonts w:hint="eastAsia" w:ascii="仿宋_GB2312" w:hAnsi="黑体" w:eastAsia="仿宋_GB2312" w:cs="Times New Roman"/>
          <w:color w:val="000000" w:themeColor="text1"/>
          <w:sz w:val="32"/>
          <w:szCs w:val="32"/>
        </w:rPr>
        <w:t>。</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霸州市自然资源和规划局部门固定资产占用情况表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编制部门：813霸州市自然资源和规划局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 xml:space="preserve">截止时间：2020年12月31日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6446.364852</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10801.04</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4716.259618</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10253</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4666.159618</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440.244378</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1289.860856</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sdtPr>
    <w:sdtContent>
      <w:p>
        <w:pPr>
          <w:pStyle w:val="4"/>
          <w:jc w:val="center"/>
        </w:pPr>
        <w:r>
          <w:rPr>
            <w:sz w:val="28"/>
          </w:rPr>
          <w:fldChar w:fldCharType="begin"/>
        </w:r>
        <w:r>
          <w:rPr>
            <w:sz w:val="28"/>
          </w:rPr>
          <w:instrText xml:space="preserve">PAGE   \* MERGEFORMAT</w:instrText>
        </w:r>
        <w:r>
          <w:rPr>
            <w:sz w:val="28"/>
          </w:rPr>
          <w:fldChar w:fldCharType="separate"/>
        </w:r>
        <w:r>
          <w:rPr>
            <w:sz w:val="28"/>
            <w:lang w:val="zh-CN"/>
          </w:rPr>
          <w:t>97</w:t>
        </w:r>
        <w:r>
          <w:rPr>
            <w:sz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9288C"/>
    <w:multiLevelType w:val="singleLevel"/>
    <w:tmpl w:val="4EB928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jMDJjNjExOGY3Y2EzZjIwZDc3MzEyMTU1ZTkzMDg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A0AFD"/>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37F30"/>
    <w:rsid w:val="001433DA"/>
    <w:rsid w:val="00152A3B"/>
    <w:rsid w:val="0015579B"/>
    <w:rsid w:val="00156150"/>
    <w:rsid w:val="001574A5"/>
    <w:rsid w:val="00162841"/>
    <w:rsid w:val="001647CE"/>
    <w:rsid w:val="00165677"/>
    <w:rsid w:val="00170039"/>
    <w:rsid w:val="001752F9"/>
    <w:rsid w:val="00180958"/>
    <w:rsid w:val="00182438"/>
    <w:rsid w:val="0018479D"/>
    <w:rsid w:val="00184A96"/>
    <w:rsid w:val="001901C9"/>
    <w:rsid w:val="00194FDE"/>
    <w:rsid w:val="001962EB"/>
    <w:rsid w:val="001A210E"/>
    <w:rsid w:val="001A69C1"/>
    <w:rsid w:val="001C0A14"/>
    <w:rsid w:val="001C1C6C"/>
    <w:rsid w:val="001C5CB9"/>
    <w:rsid w:val="001D1980"/>
    <w:rsid w:val="001D53B8"/>
    <w:rsid w:val="001D7844"/>
    <w:rsid w:val="001E124C"/>
    <w:rsid w:val="001E5626"/>
    <w:rsid w:val="001E61DC"/>
    <w:rsid w:val="001E6E68"/>
    <w:rsid w:val="00204C18"/>
    <w:rsid w:val="00224AB9"/>
    <w:rsid w:val="00225363"/>
    <w:rsid w:val="00225DD0"/>
    <w:rsid w:val="00226AF2"/>
    <w:rsid w:val="00236A9E"/>
    <w:rsid w:val="00237618"/>
    <w:rsid w:val="00241FD4"/>
    <w:rsid w:val="00247E02"/>
    <w:rsid w:val="00250623"/>
    <w:rsid w:val="00251B12"/>
    <w:rsid w:val="002543BE"/>
    <w:rsid w:val="00255C77"/>
    <w:rsid w:val="00260DBD"/>
    <w:rsid w:val="00263C11"/>
    <w:rsid w:val="002645FB"/>
    <w:rsid w:val="00265944"/>
    <w:rsid w:val="002765E9"/>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175C6"/>
    <w:rsid w:val="00325273"/>
    <w:rsid w:val="003438CA"/>
    <w:rsid w:val="003473B0"/>
    <w:rsid w:val="00351B07"/>
    <w:rsid w:val="0036269C"/>
    <w:rsid w:val="00382C33"/>
    <w:rsid w:val="00393587"/>
    <w:rsid w:val="00394C32"/>
    <w:rsid w:val="003A05EE"/>
    <w:rsid w:val="003A5AF8"/>
    <w:rsid w:val="003A6E7C"/>
    <w:rsid w:val="003B1DC1"/>
    <w:rsid w:val="003B4808"/>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2B82"/>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744FA"/>
    <w:rsid w:val="00480407"/>
    <w:rsid w:val="004860C5"/>
    <w:rsid w:val="00486A88"/>
    <w:rsid w:val="00491B5E"/>
    <w:rsid w:val="004A354F"/>
    <w:rsid w:val="004A41D0"/>
    <w:rsid w:val="004A45F5"/>
    <w:rsid w:val="004A77B1"/>
    <w:rsid w:val="004B0AE4"/>
    <w:rsid w:val="004B4705"/>
    <w:rsid w:val="004B59A6"/>
    <w:rsid w:val="004B67EC"/>
    <w:rsid w:val="004C5A84"/>
    <w:rsid w:val="004D4AD6"/>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35D8E"/>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5821"/>
    <w:rsid w:val="005F6A9D"/>
    <w:rsid w:val="00600111"/>
    <w:rsid w:val="00607AAC"/>
    <w:rsid w:val="00614A29"/>
    <w:rsid w:val="00615335"/>
    <w:rsid w:val="006211F2"/>
    <w:rsid w:val="006238E6"/>
    <w:rsid w:val="00632253"/>
    <w:rsid w:val="006327F1"/>
    <w:rsid w:val="006373F4"/>
    <w:rsid w:val="0064344B"/>
    <w:rsid w:val="00644154"/>
    <w:rsid w:val="00644837"/>
    <w:rsid w:val="0065409C"/>
    <w:rsid w:val="0066085F"/>
    <w:rsid w:val="00667064"/>
    <w:rsid w:val="00667568"/>
    <w:rsid w:val="006679BA"/>
    <w:rsid w:val="00671ADF"/>
    <w:rsid w:val="006815F1"/>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0C1"/>
    <w:rsid w:val="007237EA"/>
    <w:rsid w:val="00737766"/>
    <w:rsid w:val="007402B4"/>
    <w:rsid w:val="00740392"/>
    <w:rsid w:val="00747035"/>
    <w:rsid w:val="00747AD0"/>
    <w:rsid w:val="0075176B"/>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22834"/>
    <w:rsid w:val="0083053C"/>
    <w:rsid w:val="0083111A"/>
    <w:rsid w:val="008334AE"/>
    <w:rsid w:val="00836FED"/>
    <w:rsid w:val="00837A0D"/>
    <w:rsid w:val="0084233A"/>
    <w:rsid w:val="00843627"/>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98E"/>
    <w:rsid w:val="008B3CC5"/>
    <w:rsid w:val="008B4435"/>
    <w:rsid w:val="008C1793"/>
    <w:rsid w:val="008C2BAF"/>
    <w:rsid w:val="008D3496"/>
    <w:rsid w:val="008E18C5"/>
    <w:rsid w:val="008E4261"/>
    <w:rsid w:val="008F4662"/>
    <w:rsid w:val="00901A28"/>
    <w:rsid w:val="00903EF1"/>
    <w:rsid w:val="00905779"/>
    <w:rsid w:val="00905D08"/>
    <w:rsid w:val="00910DA9"/>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4B98"/>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4B0A"/>
    <w:rsid w:val="00B66668"/>
    <w:rsid w:val="00B739CF"/>
    <w:rsid w:val="00B74DF2"/>
    <w:rsid w:val="00B75216"/>
    <w:rsid w:val="00B80AA4"/>
    <w:rsid w:val="00B91D52"/>
    <w:rsid w:val="00B9281E"/>
    <w:rsid w:val="00BA1ACD"/>
    <w:rsid w:val="00BC64D2"/>
    <w:rsid w:val="00BC681B"/>
    <w:rsid w:val="00BC7D9A"/>
    <w:rsid w:val="00BD16FC"/>
    <w:rsid w:val="00BD1FE1"/>
    <w:rsid w:val="00BD2375"/>
    <w:rsid w:val="00BD3858"/>
    <w:rsid w:val="00BD390C"/>
    <w:rsid w:val="00BE083B"/>
    <w:rsid w:val="00BE4858"/>
    <w:rsid w:val="00BF6F55"/>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0B41"/>
    <w:rsid w:val="00D121F0"/>
    <w:rsid w:val="00D15E78"/>
    <w:rsid w:val="00D1772A"/>
    <w:rsid w:val="00D22D2B"/>
    <w:rsid w:val="00D231A7"/>
    <w:rsid w:val="00D260D2"/>
    <w:rsid w:val="00D362E4"/>
    <w:rsid w:val="00D372FC"/>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9720C"/>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3B2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C694B"/>
    <w:rsid w:val="00FD52DC"/>
    <w:rsid w:val="00FD596F"/>
    <w:rsid w:val="00FD6519"/>
    <w:rsid w:val="00FD651E"/>
    <w:rsid w:val="00FE25D5"/>
    <w:rsid w:val="00FE2A35"/>
    <w:rsid w:val="00FE2E68"/>
    <w:rsid w:val="00FF0EC6"/>
    <w:rsid w:val="00FF3F1E"/>
    <w:rsid w:val="00FF4B95"/>
    <w:rsid w:val="08171A4D"/>
    <w:rsid w:val="172F7DF3"/>
    <w:rsid w:val="2054547A"/>
    <w:rsid w:val="25843B26"/>
    <w:rsid w:val="55E155BE"/>
    <w:rsid w:val="63502E38"/>
    <w:rsid w:val="7BBC0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uiPriority w:val="99"/>
    <w:pPr>
      <w:autoSpaceDE w:val="0"/>
      <w:autoSpaceDN w:val="0"/>
      <w:adjustRightInd w:val="0"/>
      <w:jc w:val="left"/>
    </w:pPr>
    <w:rPr>
      <w:rFonts w:ascii="微软雅黑" w:hAnsi="Calibri" w:eastAsia="微软雅黑" w:cs="微软雅黑"/>
      <w:kern w:val="0"/>
      <w:sz w:val="32"/>
      <w:szCs w:val="32"/>
    </w:rPr>
  </w:style>
  <w:style w:type="paragraph" w:styleId="3">
    <w:name w:val="Balloon Text"/>
    <w:basedOn w:val="1"/>
    <w:link w:val="15"/>
    <w:semiHidden/>
    <w:unhideWhenUsed/>
    <w:qFormat/>
    <w:uiPriority w:val="99"/>
    <w:rPr>
      <w:sz w:val="18"/>
      <w:szCs w:val="18"/>
    </w:rPr>
  </w:style>
  <w:style w:type="paragraph" w:styleId="4">
    <w:name w:val="footer"/>
    <w:basedOn w:val="1"/>
    <w:link w:val="14"/>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0"/>
    <w:rPr>
      <w:rFonts w:ascii="Times New Roman" w:hAnsi="Times New Roman" w:eastAsia="宋体" w:cs="Times New Roman"/>
      <w:szCs w:val="24"/>
    </w:rPr>
  </w:style>
  <w:style w:type="paragraph" w:styleId="7">
    <w:name w:val="toc 4"/>
    <w:basedOn w:val="1"/>
    <w:next w:val="1"/>
    <w:unhideWhenUsed/>
    <w:uiPriority w:val="39"/>
    <w:pPr>
      <w:ind w:left="1260" w:leftChars="600"/>
    </w:pPr>
    <w:rPr>
      <w:rFonts w:ascii="Calibri" w:hAnsi="Calibri" w:eastAsia="宋体" w:cs="Times New Roman"/>
    </w:rPr>
  </w:style>
  <w:style w:type="paragraph" w:styleId="8">
    <w:name w:val="toc 2"/>
    <w:basedOn w:val="1"/>
    <w:next w:val="1"/>
    <w:qFormat/>
    <w:uiPriority w:val="39"/>
    <w:pPr>
      <w:ind w:left="420" w:leftChars="200"/>
    </w:pPr>
    <w:rPr>
      <w:rFonts w:ascii="Times New Roman" w:hAnsi="Times New Roman" w:eastAsia="宋体" w:cs="Times New Roman"/>
      <w:szCs w:val="24"/>
    </w:rPr>
  </w:style>
  <w:style w:type="character" w:styleId="11">
    <w:name w:val="page number"/>
    <w:basedOn w:val="10"/>
    <w:semiHidden/>
    <w:unhideWhenUsed/>
    <w:uiPriority w:val="99"/>
  </w:style>
  <w:style w:type="character" w:styleId="12">
    <w:name w:val="Hyperlink"/>
    <w:basedOn w:val="10"/>
    <w:unhideWhenUsed/>
    <w:uiPriority w:val="99"/>
    <w:rPr>
      <w:color w:val="0000FF"/>
      <w:u w:val="single"/>
    </w:rPr>
  </w:style>
  <w:style w:type="character" w:customStyle="1" w:styleId="13">
    <w:name w:val="页眉 Char"/>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Char"/>
    <w:basedOn w:val="1"/>
    <w:qFormat/>
    <w:uiPriority w:val="0"/>
    <w:rPr>
      <w:rFonts w:ascii="Tahoma" w:hAnsi="Tahoma" w:eastAsia="宋体" w:cs="Times New Roman"/>
      <w:sz w:val="24"/>
      <w:szCs w:val="24"/>
    </w:rPr>
  </w:style>
  <w:style w:type="character" w:customStyle="1" w:styleId="18">
    <w:name w:val="正文文本 Char"/>
    <w:basedOn w:val="10"/>
    <w:link w:val="2"/>
    <w:uiPriority w:val="99"/>
    <w:rPr>
      <w:rFonts w:ascii="微软雅黑" w:hAnsi="Calibri" w:eastAsia="微软雅黑" w:cs="微软雅黑"/>
      <w:sz w:val="32"/>
      <w:szCs w:val="32"/>
    </w:rPr>
  </w:style>
  <w:style w:type="paragraph" w:customStyle="1" w:styleId="19">
    <w:name w:val="[Normal]"/>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98</Pages>
  <Words>48147</Words>
  <Characters>52477</Characters>
  <Lines>444</Lines>
  <Paragraphs>125</Paragraphs>
  <TotalTime>474</TotalTime>
  <ScaleCrop>false</ScaleCrop>
  <LinksUpToDate>false</LinksUpToDate>
  <CharactersWithSpaces>52667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爱笑的女子</cp:lastModifiedBy>
  <cp:lastPrinted>2018-02-28T01:51:00Z</cp:lastPrinted>
  <dcterms:modified xsi:type="dcterms:W3CDTF">2022-09-08T01:28:14Z</dcterms:modified>
  <cp:revision>1426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94BE24EB5BA14206998C9C1AB35BFB21</vt:lpwstr>
  </property>
</Properties>
</file>